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E6324" w14:textId="77777777" w:rsidR="00CB4EDD" w:rsidRDefault="00CB4EDD">
      <w:pPr>
        <w:pStyle w:val="BodyText"/>
        <w:spacing w:before="7" w:after="1"/>
        <w:rPr>
          <w:rFonts w:ascii="Times New Roman"/>
          <w:sz w:val="18"/>
        </w:rPr>
      </w:pPr>
    </w:p>
    <w:p w14:paraId="01B20292" w14:textId="77777777" w:rsidR="001E7936" w:rsidRDefault="001E7936">
      <w:pPr>
        <w:pStyle w:val="BodyText"/>
        <w:spacing w:before="7" w:after="1"/>
        <w:rPr>
          <w:rFonts w:ascii="Times New Roman"/>
          <w:sz w:val="18"/>
        </w:rPr>
      </w:pPr>
    </w:p>
    <w:p w14:paraId="25193CD5" w14:textId="77777777" w:rsidR="001E7936" w:rsidRDefault="001E7936">
      <w:pPr>
        <w:pStyle w:val="BodyText"/>
        <w:spacing w:before="7" w:after="1"/>
        <w:rPr>
          <w:rFonts w:ascii="Times New Roman"/>
          <w:sz w:val="18"/>
        </w:rPr>
      </w:pPr>
    </w:p>
    <w:p w14:paraId="543F8E26" w14:textId="77777777" w:rsidR="001E7936" w:rsidRDefault="001E7936">
      <w:pPr>
        <w:pStyle w:val="BodyText"/>
        <w:spacing w:before="7" w:after="1"/>
        <w:rPr>
          <w:rFonts w:ascii="Times New Roman"/>
          <w:sz w:val="18"/>
        </w:rPr>
      </w:pPr>
    </w:p>
    <w:p w14:paraId="253D1F53" w14:textId="77777777" w:rsidR="001E7936" w:rsidRDefault="001E7936">
      <w:pPr>
        <w:pStyle w:val="BodyText"/>
        <w:spacing w:before="7" w:after="1"/>
        <w:rPr>
          <w:rFonts w:ascii="Times New Roman"/>
          <w:sz w:val="18"/>
        </w:rPr>
      </w:pPr>
      <w:bookmarkStart w:id="0" w:name="_GoBack"/>
      <w:bookmarkEnd w:id="0"/>
    </w:p>
    <w:p w14:paraId="6C7E2AC0" w14:textId="77777777" w:rsidR="00CB4EDD" w:rsidRDefault="002C71DD">
      <w:pPr>
        <w:pStyle w:val="BodyText"/>
        <w:ind w:left="2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D07D73C" wp14:editId="6F3DF604">
                <wp:extent cx="5939155" cy="641350"/>
                <wp:effectExtent l="0" t="0" r="23495" b="2540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641350"/>
                          <a:chOff x="3" y="-81"/>
                          <a:chExt cx="9353" cy="1010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" y="12"/>
                            <a:ext cx="9348" cy="917"/>
                          </a:xfrm>
                          <a:prstGeom prst="rect">
                            <a:avLst/>
                          </a:prstGeom>
                          <a:solidFill>
                            <a:srgbClr val="DC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348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925"/>
                          </a:xfrm>
                          <a:prstGeom prst="line">
                            <a:avLst/>
                          </a:prstGeom>
                          <a:noFill/>
                          <a:ln w="4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921"/>
                            <a:ext cx="9348" cy="0"/>
                          </a:xfrm>
                          <a:prstGeom prst="line">
                            <a:avLst/>
                          </a:prstGeom>
                          <a:noFill/>
                          <a:ln w="9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48" y="12"/>
                            <a:ext cx="0" cy="917"/>
                          </a:xfrm>
                          <a:prstGeom prst="line">
                            <a:avLst/>
                          </a:prstGeom>
                          <a:noFill/>
                          <a:ln w="9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-81"/>
                            <a:ext cx="9345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90A2C" w14:textId="77777777" w:rsidR="006B667F" w:rsidRDefault="006B667F" w:rsidP="006B667F">
                              <w:pPr>
                                <w:ind w:right="-1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713E094" w14:textId="77777777" w:rsidR="006B667F" w:rsidRDefault="000A1255" w:rsidP="006B667F">
                              <w:pPr>
                                <w:ind w:right="-1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Delaware Unclaimed Property Voluntary Disclosure Program</w:t>
                              </w:r>
                            </w:p>
                            <w:p w14:paraId="5F735930" w14:textId="109B619D" w:rsidR="00ED7619" w:rsidRDefault="000A1255" w:rsidP="006B667F">
                              <w:pPr>
                                <w:ind w:right="-1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6B667F">
                                <w:rPr>
                                  <w:b/>
                                  <w:sz w:val="24"/>
                                </w:rPr>
                                <w:t>Information Request: Prior Audit/VDA</w:t>
                              </w:r>
                            </w:p>
                            <w:p w14:paraId="67316D50" w14:textId="03B5CAFD" w:rsidR="00CB4EDD" w:rsidRDefault="00CB4EDD" w:rsidP="00ED7619">
                              <w:pPr>
                                <w:spacing w:before="154" w:line="261" w:lineRule="auto"/>
                                <w:ind w:left="3637" w:right="1645" w:hanging="199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D07D73C" id="Group 2" o:spid="_x0000_s1026" style="width:467.65pt;height:50.5pt;mso-position-horizontal-relative:char;mso-position-vertical-relative:line" coordorigin="3,-81" coordsize="9353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KubwQAALsUAAAOAAAAZHJzL2Uyb0RvYy54bWzsWF1v2zYUfR+w/0DoXdGHKdsSohSJP4IB&#10;2Vas2Q+gJVoSKpEqqUROh/33XZKSIjv10qSt0YfkwSFFiry895zDe3X+bleV6J4KWXAWW96ZayHK&#10;Ep4WLIutv2/X9txCsiEsJSVnNLYeqLTeXfz6y3lbR9TnOS9TKhAswmTU1rGVN00dOY5McloRecZr&#10;ymBwy0VFGuiKzEkFaWH1qnR81506LRdpLXhCpYSnSzNoXej1t1uaNH9ut5I2qIwtsK3Rv0L/btSv&#10;c3FOokyQOi+SzgzyCisqUjDYdFhqSRqC7kTxZKmqSASXfNucJbxy+HZbJFSfAU7juQenuRb8rtZn&#10;yaI2qwc3gWsP/PTqZZM/7t8LVKSx5VuIkQpCpHdFvnJNW2cRzLgW9Yf6vTDng+YNTz5KGHYOx1U/&#10;M5PRpv2dp7AcuWu4ds1uKyq1BBwa7XQEHoYI0F2DEngYhJPQCwILJTA2xd4k6EKU5BBH9drEQjBk&#10;zz0TuiRfda+GkwDG1HseeFKNOiQye2o7O7vUoQBq8tGb8tu8+SEnNdVBkspXnTfBFOPNvwCChGUl&#10;RXPjUT2rd6c0vkSML3KYRS+F4G1OSQpG6ROC6aMXVEdCJJ51LrBOOUIHkUS9d8MJhgHlotCb7XmI&#10;RLWQzTXlFVKN2BJgto4aub+RjXFmP0UFUfKySNdFWeqOyDaLUqB7AixbLlbTtbH9YFrJ1GTG1Wtm&#10;RfMEzIM91JgyVLPmn9DzsXvlh/Z6Op/ZeI0DO5y5c9v1wqtw6uIQL9f/KgM9HOVFmlJ2UzDaM9jD&#10;XxfTTksM9zSHUQvOCfxAn/34IV3917lwb1pVNCBoZVHF1nyYRCIV0xVL4dgkakhRmrazb76GLPig&#10;/6+9ohGggm6Qu+HpAwBAcAgSCBpILzRyLj5bqAUZiy356Y4IaqHyNwYgCj2Mle7pDg5mPnTEeGQz&#10;HiEsgaViq7GQaS4ao5V3tSiyHHbytGMYvwRWbwsNDAVKY5VWBE2uE7EM9yzTwdeQ7viyYEavkh3r&#10;9GrgmCbs7UMN2rRHMfPKCymmSf0lhu0r0BN+lYBW7coj/BpYQqKSKVDi2Qy/GpRwj3TYO4ZD2KUj&#10;4FMquuFqvppjG/vTlY3d5dK+XC+wDSyfBcvJcrFYevtUVAT/dioqewY3jJhiVAfE/auYooRGxRQU&#10;/0SghNvLSL8G5XSk+j8elEAIUHes9nwEJVBeaz6ompHd/ibuBb3T/Jdjcu76b5hUl8/PjsnpHiY1&#10;Dk4slKHfZWzqjlep3mMy8r2lMgwCc03tXcxynKQcv7/fpPKEUjnbg6WWrZPB0uDvC1lyL5fPpcgv&#10;lkvIW1+fV77h8oS4hCrJXOG3Sq2u+A5NRte4Kt5Qs4PHfT78o8q4g2J3JJ1diQzp/f/f6c/VcUOC&#10;pfLMg4zrJ80Jj6v6Wv91DhlNO5o8vlWc6iPJM3l0s9vsIG9UwvzC4nMoPIeiExqm4ITGdyw29Qce&#10;+EKmC+fua576BDfu6zrg8ZvjxX8AAAD//wMAUEsDBBQABgAIAAAAIQDdSppM3AAAAAUBAAAPAAAA&#10;ZHJzL2Rvd25yZXYueG1sTI9BS8NAEIXvgv9hGcGb3Y2homk2pRT1VARbQXqbZqdJaHY3ZLdJ+u8d&#10;vdjLg+E93vsmX062FQP1ofFOQzJTIMiV3jSu0vC1e3t4BhEiOoOtd6ThQgGWxe1Njpnxo/ukYRsr&#10;wSUuZKihjrHLpAxlTRbDzHfk2Dv63mLks6+k6XHkctvKR6WepMXG8UKNHa1rKk/bs9XwPuK4SpPX&#10;YXM6ri/73fzje5OQ1vd302oBItIU/8Pwi8/oUDDTwZ+dCaLVwI/EP2XvJZ2nIA4cUokCWeTymr74&#10;AQAA//8DAFBLAQItABQABgAIAAAAIQC2gziS/gAAAOEBAAATAAAAAAAAAAAAAAAAAAAAAABbQ29u&#10;dGVudF9UeXBlc10ueG1sUEsBAi0AFAAGAAgAAAAhADj9If/WAAAAlAEAAAsAAAAAAAAAAAAAAAAA&#10;LwEAAF9yZWxzLy5yZWxzUEsBAi0AFAAGAAgAAAAhAFRKcq5vBAAAuxQAAA4AAAAAAAAAAAAAAAAA&#10;LgIAAGRycy9lMm9Eb2MueG1sUEsBAi0AFAAGAAgAAAAhAN1KmkzcAAAABQEAAA8AAAAAAAAAAAAA&#10;AAAAyQYAAGRycy9kb3ducmV2LnhtbFBLBQYAAAAABAAEAPMAAADSBwAAAAA=&#10;">
                <v:rect id="Rectangle 8" o:spid="_x0000_s1027" style="position:absolute;left:8;top:12;width:9348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Z2wgAAANoAAAAPAAAAZHJzL2Rvd25yZXYueG1sRI9BSwMx&#10;FITvBf9DeEIvxWZVLLI2LSIseGyrWI+PzTO7dfOyJM/t9t83QqHHYWa+YZbr0XdqoJjawAbu5wUo&#10;4jrYlp2Bz4/q7hlUEmSLXWAycKIE69XNZImlDUfe0rATpzKEU4kGGpG+1DrVDXlM89ATZ+8nRI+S&#10;ZXTaRjxmuO/0Q1EstMeW80KDPb01VP/u/ryB7V6qzeHpyy2+ZxRdFWU/HKwx09vx9QWU0CjX8KX9&#10;bg08wv+VfAP06gwAAP//AwBQSwECLQAUAAYACAAAACEA2+H2y+4AAACFAQAAEwAAAAAAAAAAAAAA&#10;AAAAAAAAW0NvbnRlbnRfVHlwZXNdLnhtbFBLAQItABQABgAIAAAAIQBa9CxbvwAAABUBAAALAAAA&#10;AAAAAAAAAAAAAB8BAABfcmVscy8ucmVsc1BLAQItABQABgAIAAAAIQCGtzZ2wgAAANoAAAAPAAAA&#10;AAAAAAAAAAAAAAcCAABkcnMvZG93bnJldi54bWxQSwUGAAAAAAMAAwC3AAAA9gIAAAAA&#10;" fillcolor="#dce6f1" stroked="f"/>
                <v:line id="Line 7" o:spid="_x0000_s1028" style="position:absolute;visibility:visible;mso-wrap-style:square" from="8,8" to="93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gzVwQAAANoAAAAPAAAAZHJzL2Rvd25yZXYueG1sRI/disIw&#10;FITvhX2HcBa809RFRKtRuoK44oXo7gMcmtMfbE5KEmv37Y0geDnMzDfMatObRnTkfG1ZwWScgCDO&#10;ra65VPD3uxvNQfiArLGxTAr+ycNm/TFYYartnc/UXUIpIoR9igqqENpUSp9XZNCPbUscvcI6gyFK&#10;V0rt8B7hppFfSTKTBmuOCxW2tK0ov15uRsEtFMdT9m3dftIcZLHIfMfbuVLDzz5bggjUh3f41f7R&#10;CqbwvBJvgFw/AAAA//8DAFBLAQItABQABgAIAAAAIQDb4fbL7gAAAIUBAAATAAAAAAAAAAAAAAAA&#10;AAAAAABbQ29udGVudF9UeXBlc10ueG1sUEsBAi0AFAAGAAgAAAAhAFr0LFu/AAAAFQEAAAsAAAAA&#10;AAAAAAAAAAAAHwEAAF9yZWxzLy5yZWxzUEsBAi0AFAAGAAgAAAAhAC/WDNXBAAAA2gAAAA8AAAAA&#10;AAAAAAAAAAAABwIAAGRycy9kb3ducmV2LnhtbFBLBQYAAAAAAwADALcAAAD1AgAAAAA=&#10;" strokeweight=".1326mm"/>
                <v:line id="Line 6" o:spid="_x0000_s1029" style="position:absolute;visibility:visible;mso-wrap-style:square" from="4,4" to="4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pe/wwAAANoAAAAPAAAAZHJzL2Rvd25yZXYueG1sRI9PawIx&#10;FMTvBb9DeEJvNbvVlro1ighCj/UP7fW5ebvZunnZJqmu394IBY/DzPyGmS1624oT+dA4VpCPMhDE&#10;pdMN1wr2u/XTG4gQkTW2jknBhQIs5oOHGRbanXlDp22sRYJwKFCBibErpAylIYth5Dri5FXOW4xJ&#10;+lpqj+cEt618zrJXabHhtGCwo5Wh8rj9swqm9hO9+fpe/eS7avKbT7g6NGOlHof98h1EpD7ew//t&#10;D63gBW5X0g2Q8ysAAAD//wMAUEsBAi0AFAAGAAgAAAAhANvh9svuAAAAhQEAABMAAAAAAAAAAAAA&#10;AAAAAAAAAFtDb250ZW50X1R5cGVzXS54bWxQSwECLQAUAAYACAAAACEAWvQsW78AAAAVAQAACwAA&#10;AAAAAAAAAAAAAAAfAQAAX3JlbHMvLnJlbHNQSwECLQAUAAYACAAAACEAvMKXv8MAAADaAAAADwAA&#10;AAAAAAAAAAAAAAAHAgAAZHJzL2Rvd25yZXYueG1sUEsFBgAAAAADAAMAtwAAAPcCAAAAAA==&#10;" strokeweight=".1334mm"/>
                <v:line id="Line 5" o:spid="_x0000_s1030" style="position:absolute;visibility:visible;mso-wrap-style:square" from="8,921" to="9356,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j7nxQAAANoAAAAPAAAAZHJzL2Rvd25yZXYueG1sRI9Pa8JA&#10;FMTvQr/D8oReRDf+IUh0FRUKxYNQW4rHR/aZDWbfptltjH56Vyj0OMzMb5jlurOVaKnxpWMF41EC&#10;gjh3uuRCwdfn23AOwgdkjZVjUnAjD+vVS2+JmXZX/qD2GAoRIewzVGBCqDMpfW7Ioh+5mjh6Z9dY&#10;DFE2hdQNXiPcVnKSJKm0WHJcMFjTzlB+Of5aBdvT976dneWhnAzy3Wz6czeb9K7Ua7/bLEAE6sJ/&#10;+K/9rhWk8LwSb4BcPQAAAP//AwBQSwECLQAUAAYACAAAACEA2+H2y+4AAACFAQAAEwAAAAAAAAAA&#10;AAAAAAAAAAAAW0NvbnRlbnRfVHlwZXNdLnhtbFBLAQItABQABgAIAAAAIQBa9CxbvwAAABUBAAAL&#10;AAAAAAAAAAAAAAAAAB8BAABfcmVscy8ucmVsc1BLAQItABQABgAIAAAAIQBilj7nxQAAANoAAAAP&#10;AAAAAAAAAAAAAAAAAAcCAABkcnMvZG93bnJldi54bWxQSwUGAAAAAAMAAwC3AAAA+QIAAAAA&#10;" strokeweight=".26531mm"/>
                <v:line id="Line 4" o:spid="_x0000_s1031" style="position:absolute;visibility:visible;mso-wrap-style:square" from="9348,12" to="9348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/3ixAAAANoAAAAPAAAAZHJzL2Rvd25yZXYueG1sRI9Ba8JA&#10;FITvBf/D8oTe6kaFKtFVgiCopWDTQjw+sq9JaPZt2F1j2l/fLQg9DjPzDbPeDqYVPTnfWFYwnSQg&#10;iEurG64UfLzvn5YgfEDW2FomBd/kYbsZPawx1fbGb9TnoRIRwj5FBXUIXSqlL2sy6Ce2I47ep3UG&#10;Q5SuktrhLcJNK2dJ8iwNNhwXauxoV1P5lV+NguJ8xOWrvtAp+3Hz08u5yENXKPU4HrIViEBD+A/f&#10;2wetYAF/V+INkJtfAAAA//8DAFBLAQItABQABgAIAAAAIQDb4fbL7gAAAIUBAAATAAAAAAAAAAAA&#10;AAAAAAAAAABbQ29udGVudF9UeXBlc10ueG1sUEsBAi0AFAAGAAgAAAAhAFr0LFu/AAAAFQEAAAsA&#10;AAAAAAAAAAAAAAAAHwEAAF9yZWxzLy5yZWxzUEsBAi0AFAAGAAgAAAAhAB57/eLEAAAA2gAAAA8A&#10;AAAAAAAAAAAAAAAABwIAAGRycy9kb3ducmV2LnhtbFBLBQYAAAAAAwADALcAAAD4AgAAAAA=&#10;" strokeweight=".266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3;top:-81;width:934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0390A2C" w14:textId="77777777" w:rsidR="006B667F" w:rsidRDefault="006B667F" w:rsidP="006B667F">
                        <w:pPr>
                          <w:ind w:right="-14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14:paraId="3713E094" w14:textId="77777777" w:rsidR="006B667F" w:rsidRDefault="000A1255" w:rsidP="006B667F">
                        <w:pPr>
                          <w:ind w:right="-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Delaware Unclaimed Property Voluntary Disclosure Program</w:t>
                        </w:r>
                      </w:p>
                      <w:p w14:paraId="5F735930" w14:textId="109B619D" w:rsidR="00ED7619" w:rsidRDefault="000A1255" w:rsidP="006B667F">
                        <w:pPr>
                          <w:ind w:right="-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6B667F">
                          <w:rPr>
                            <w:b/>
                            <w:sz w:val="24"/>
                          </w:rPr>
                          <w:t>Information Request: Prior Audit/VDA</w:t>
                        </w:r>
                      </w:p>
                      <w:p w14:paraId="67316D50" w14:textId="03B5CAFD" w:rsidR="00CB4EDD" w:rsidRDefault="00CB4EDD" w:rsidP="00ED7619">
                        <w:pPr>
                          <w:spacing w:before="154" w:line="261" w:lineRule="auto"/>
                          <w:ind w:left="3637" w:right="1645" w:hanging="1991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3AFD50" w14:textId="77777777" w:rsidR="00CB4EDD" w:rsidRDefault="00CB4EDD">
      <w:pPr>
        <w:pStyle w:val="BodyText"/>
        <w:spacing w:before="10"/>
        <w:rPr>
          <w:rFonts w:ascii="Times New Roman"/>
          <w:sz w:val="17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659"/>
      </w:tblGrid>
      <w:tr w:rsidR="00CB4EDD" w14:paraId="4898F077" w14:textId="77777777" w:rsidTr="00876C2E">
        <w:trPr>
          <w:trHeight w:hRule="exact" w:val="343"/>
        </w:trPr>
        <w:tc>
          <w:tcPr>
            <w:tcW w:w="922" w:type="dxa"/>
          </w:tcPr>
          <w:p w14:paraId="5514BFC0" w14:textId="77777777" w:rsidR="00CB4EDD" w:rsidRDefault="000A125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A.</w:t>
            </w:r>
          </w:p>
        </w:tc>
        <w:tc>
          <w:tcPr>
            <w:tcW w:w="8659" w:type="dxa"/>
          </w:tcPr>
          <w:p w14:paraId="180D12DA" w14:textId="77777777" w:rsidR="00CB4EDD" w:rsidRDefault="000A1255" w:rsidP="006B667F">
            <w:pPr>
              <w:pStyle w:val="TableParagraph"/>
              <w:ind w:left="325"/>
              <w:rPr>
                <w:sz w:val="21"/>
              </w:rPr>
            </w:pPr>
            <w:r>
              <w:rPr>
                <w:w w:val="105"/>
                <w:sz w:val="21"/>
              </w:rPr>
              <w:t>Company name, corporate headquarters and address</w:t>
            </w:r>
            <w:r w:rsidR="00876C2E">
              <w:rPr>
                <w:w w:val="105"/>
                <w:sz w:val="21"/>
              </w:rPr>
              <w:t>.</w:t>
            </w:r>
          </w:p>
        </w:tc>
      </w:tr>
      <w:tr w:rsidR="00CB4EDD" w14:paraId="63B4BC0C" w14:textId="77777777" w:rsidTr="00DB712A">
        <w:trPr>
          <w:trHeight w:hRule="exact" w:val="1135"/>
        </w:trPr>
        <w:tc>
          <w:tcPr>
            <w:tcW w:w="922" w:type="dxa"/>
          </w:tcPr>
          <w:p w14:paraId="2E4DD2B5" w14:textId="77777777" w:rsidR="00CB4EDD" w:rsidRDefault="000A125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B.</w:t>
            </w:r>
          </w:p>
        </w:tc>
        <w:tc>
          <w:tcPr>
            <w:tcW w:w="8659" w:type="dxa"/>
          </w:tcPr>
          <w:p w14:paraId="7A993C8C" w14:textId="728ED65C" w:rsidR="00CB4EDD" w:rsidRDefault="000A1255" w:rsidP="006B667F">
            <w:pPr>
              <w:pStyle w:val="TableParagraph"/>
              <w:ind w:left="325"/>
              <w:rPr>
                <w:sz w:val="21"/>
              </w:rPr>
            </w:pPr>
            <w:r>
              <w:rPr>
                <w:w w:val="105"/>
                <w:sz w:val="21"/>
              </w:rPr>
              <w:t>Briefly describe the business activities of the Company and its subsidiaries/affiliates</w:t>
            </w:r>
            <w:r w:rsidR="00ED7619">
              <w:rPr>
                <w:w w:val="105"/>
                <w:sz w:val="21"/>
              </w:rPr>
              <w:t>, include a summary of communications with the offices of the Delaware Department of Finance and/or the Delaware Secretary of State regarding the Company’s unclaimed property compliance history</w:t>
            </w:r>
            <w:r w:rsidR="00516231">
              <w:rPr>
                <w:w w:val="105"/>
                <w:sz w:val="21"/>
              </w:rPr>
              <w:t xml:space="preserve">, </w:t>
            </w:r>
            <w:r w:rsidR="00947561">
              <w:rPr>
                <w:w w:val="105"/>
                <w:sz w:val="21"/>
              </w:rPr>
              <w:t xml:space="preserve">including </w:t>
            </w:r>
            <w:r w:rsidR="00516231">
              <w:rPr>
                <w:w w:val="105"/>
                <w:sz w:val="21"/>
              </w:rPr>
              <w:t>prior audits or prior VDA filings</w:t>
            </w:r>
            <w:r w:rsidR="00ED7619">
              <w:rPr>
                <w:w w:val="105"/>
                <w:sz w:val="21"/>
              </w:rPr>
              <w:t>.</w:t>
            </w:r>
          </w:p>
        </w:tc>
      </w:tr>
      <w:tr w:rsidR="00CB4EDD" w14:paraId="5EA69784" w14:textId="77777777" w:rsidTr="006B667F">
        <w:trPr>
          <w:trHeight w:hRule="exact" w:val="874"/>
        </w:trPr>
        <w:tc>
          <w:tcPr>
            <w:tcW w:w="922" w:type="dxa"/>
          </w:tcPr>
          <w:p w14:paraId="279EF57F" w14:textId="77777777" w:rsidR="00CB4EDD" w:rsidRDefault="000A125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C.</w:t>
            </w:r>
          </w:p>
        </w:tc>
        <w:tc>
          <w:tcPr>
            <w:tcW w:w="8659" w:type="dxa"/>
          </w:tcPr>
          <w:p w14:paraId="7197911A" w14:textId="6443F462" w:rsidR="00ED7619" w:rsidRDefault="00ED7619" w:rsidP="006B667F">
            <w:pPr>
              <w:pStyle w:val="TableParagraph"/>
              <w:spacing w:line="252" w:lineRule="auto"/>
              <w:ind w:left="325"/>
              <w:rPr>
                <w:sz w:val="21"/>
              </w:rPr>
            </w:pPr>
            <w:r>
              <w:rPr>
                <w:sz w:val="21"/>
              </w:rPr>
              <w:t xml:space="preserve">Please provide copy of the Company’s Delaware audit settlement agreement </w:t>
            </w:r>
            <w:r w:rsidR="006E160E">
              <w:rPr>
                <w:sz w:val="21"/>
              </w:rPr>
              <w:t xml:space="preserve">or prior Delaware VDA settlement agreement </w:t>
            </w:r>
            <w:r>
              <w:rPr>
                <w:sz w:val="21"/>
              </w:rPr>
              <w:t xml:space="preserve">and </w:t>
            </w:r>
            <w:r w:rsidR="00166AE1">
              <w:rPr>
                <w:sz w:val="21"/>
              </w:rPr>
              <w:t xml:space="preserve">all </w:t>
            </w:r>
            <w:r>
              <w:rPr>
                <w:sz w:val="21"/>
              </w:rPr>
              <w:t xml:space="preserve">referenced </w:t>
            </w:r>
            <w:r w:rsidR="006E160E">
              <w:rPr>
                <w:sz w:val="21"/>
              </w:rPr>
              <w:t>schedules, attachments and/or exhibits to such agreement.</w:t>
            </w:r>
          </w:p>
        </w:tc>
      </w:tr>
      <w:tr w:rsidR="00CB4EDD" w14:paraId="79C1047E" w14:textId="77777777" w:rsidTr="006B667F">
        <w:trPr>
          <w:trHeight w:hRule="exact" w:val="712"/>
        </w:trPr>
        <w:tc>
          <w:tcPr>
            <w:tcW w:w="922" w:type="dxa"/>
          </w:tcPr>
          <w:p w14:paraId="380F9392" w14:textId="77777777" w:rsidR="00CB4EDD" w:rsidRDefault="000A125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D.</w:t>
            </w:r>
          </w:p>
        </w:tc>
        <w:tc>
          <w:tcPr>
            <w:tcW w:w="8659" w:type="dxa"/>
          </w:tcPr>
          <w:p w14:paraId="060E9D9B" w14:textId="290CACEB" w:rsidR="00CB4EDD" w:rsidRDefault="004D7362" w:rsidP="006B667F">
            <w:pPr>
              <w:pStyle w:val="TableParagraph"/>
              <w:tabs>
                <w:tab w:val="left" w:pos="820"/>
              </w:tabs>
              <w:spacing w:before="15"/>
              <w:ind w:left="325"/>
              <w:rPr>
                <w:sz w:val="21"/>
              </w:rPr>
            </w:pPr>
            <w:r>
              <w:rPr>
                <w:w w:val="105"/>
                <w:sz w:val="21"/>
              </w:rPr>
              <w:t xml:space="preserve">Provide the </w:t>
            </w:r>
            <w:r w:rsidR="000A1255">
              <w:rPr>
                <w:w w:val="105"/>
                <w:sz w:val="21"/>
              </w:rPr>
              <w:t>Company</w:t>
            </w:r>
            <w:r>
              <w:rPr>
                <w:w w:val="105"/>
                <w:sz w:val="21"/>
              </w:rPr>
              <w:t>’s</w:t>
            </w:r>
            <w:r w:rsidR="000A1255">
              <w:rPr>
                <w:w w:val="105"/>
                <w:sz w:val="21"/>
              </w:rPr>
              <w:t xml:space="preserve"> </w:t>
            </w:r>
            <w:r w:rsidR="006E160E">
              <w:rPr>
                <w:w w:val="105"/>
                <w:sz w:val="21"/>
              </w:rPr>
              <w:t xml:space="preserve">current </w:t>
            </w:r>
            <w:r w:rsidR="000A1255">
              <w:rPr>
                <w:w w:val="105"/>
                <w:sz w:val="21"/>
              </w:rPr>
              <w:t>entity organization chart including</w:t>
            </w:r>
            <w:r w:rsidR="006805D4">
              <w:rPr>
                <w:w w:val="105"/>
                <w:sz w:val="21"/>
              </w:rPr>
              <w:t xml:space="preserve"> the state and date of incorporation for each entity. </w:t>
            </w:r>
          </w:p>
        </w:tc>
      </w:tr>
      <w:tr w:rsidR="00CB4EDD" w14:paraId="11D1152E" w14:textId="77777777" w:rsidTr="006B667F">
        <w:trPr>
          <w:trHeight w:hRule="exact" w:val="1540"/>
        </w:trPr>
        <w:tc>
          <w:tcPr>
            <w:tcW w:w="922" w:type="dxa"/>
          </w:tcPr>
          <w:p w14:paraId="6B0BE615" w14:textId="664ABCF8" w:rsidR="00CB4EDD" w:rsidRDefault="006B667F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 w:rsidR="000A1255">
              <w:rPr>
                <w:w w:val="105"/>
                <w:sz w:val="21"/>
              </w:rPr>
              <w:t>.</w:t>
            </w:r>
          </w:p>
        </w:tc>
        <w:tc>
          <w:tcPr>
            <w:tcW w:w="8659" w:type="dxa"/>
          </w:tcPr>
          <w:p w14:paraId="4286970F" w14:textId="5C406E81" w:rsidR="00CB4EDD" w:rsidRDefault="000A1255" w:rsidP="006B667F">
            <w:pPr>
              <w:pStyle w:val="TableParagraph"/>
              <w:spacing w:line="252" w:lineRule="auto"/>
              <w:ind w:left="325" w:right="22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Please</w:t>
            </w:r>
            <w:r w:rsidR="00603166">
              <w:rPr>
                <w:w w:val="105"/>
                <w:sz w:val="21"/>
              </w:rPr>
              <w:t xml:space="preserve"> submit a </w:t>
            </w:r>
            <w:r w:rsidR="006E160E">
              <w:rPr>
                <w:w w:val="105"/>
                <w:sz w:val="21"/>
              </w:rPr>
              <w:t xml:space="preserve">spreadsheet </w:t>
            </w:r>
            <w:r w:rsidR="00603166">
              <w:rPr>
                <w:w w:val="105"/>
                <w:sz w:val="21"/>
              </w:rPr>
              <w:t>of</w:t>
            </w:r>
            <w:r w:rsidR="004D7362">
              <w:rPr>
                <w:w w:val="105"/>
                <w:sz w:val="21"/>
              </w:rPr>
              <w:t xml:space="preserve"> the Company’s</w:t>
            </w:r>
            <w:r w:rsidR="00603166">
              <w:rPr>
                <w:w w:val="105"/>
                <w:sz w:val="21"/>
              </w:rPr>
              <w:t xml:space="preserve"> post</w:t>
            </w:r>
            <w:r w:rsidR="001222A2">
              <w:rPr>
                <w:w w:val="105"/>
                <w:sz w:val="21"/>
              </w:rPr>
              <w:t>-</w:t>
            </w:r>
            <w:r w:rsidR="00603166">
              <w:rPr>
                <w:w w:val="105"/>
                <w:sz w:val="21"/>
              </w:rPr>
              <w:t xml:space="preserve">audit </w:t>
            </w:r>
            <w:r w:rsidR="00947561">
              <w:rPr>
                <w:w w:val="105"/>
                <w:sz w:val="21"/>
              </w:rPr>
              <w:t xml:space="preserve">settlement </w:t>
            </w:r>
            <w:r w:rsidR="00603166">
              <w:rPr>
                <w:w w:val="105"/>
                <w:sz w:val="21"/>
              </w:rPr>
              <w:t xml:space="preserve">period filings: </w:t>
            </w:r>
            <w:r>
              <w:rPr>
                <w:w w:val="105"/>
                <w:sz w:val="21"/>
              </w:rPr>
              <w:t xml:space="preserve"> </w:t>
            </w:r>
          </w:p>
          <w:p w14:paraId="405DF5CA" w14:textId="59F49776" w:rsidR="00CB4EDD" w:rsidRDefault="000A1255" w:rsidP="00C02E65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</w:tabs>
              <w:spacing w:before="5"/>
              <w:ind w:left="775" w:hanging="270"/>
              <w:rPr>
                <w:sz w:val="21"/>
              </w:rPr>
            </w:pPr>
            <w:r>
              <w:rPr>
                <w:w w:val="105"/>
                <w:sz w:val="21"/>
              </w:rPr>
              <w:t>Summarize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describe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such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 w:rsidR="00603166">
              <w:rPr>
                <w:spacing w:val="-4"/>
                <w:w w:val="105"/>
                <w:sz w:val="21"/>
              </w:rPr>
              <w:t xml:space="preserve">property type, </w:t>
            </w:r>
            <w:r>
              <w:rPr>
                <w:w w:val="105"/>
                <w:sz w:val="21"/>
              </w:rPr>
              <w:t>state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year</w:t>
            </w:r>
            <w:r w:rsidR="006805D4">
              <w:rPr>
                <w:w w:val="105"/>
                <w:sz w:val="21"/>
              </w:rPr>
              <w:t xml:space="preserve"> (both transaction and report year)</w:t>
            </w:r>
            <w:r>
              <w:rPr>
                <w:w w:val="105"/>
                <w:sz w:val="21"/>
              </w:rPr>
              <w:t>.</w:t>
            </w:r>
          </w:p>
          <w:p w14:paraId="0FAA42CB" w14:textId="5D1128FC" w:rsidR="00CB4EDD" w:rsidRPr="006B667F" w:rsidRDefault="006045B1" w:rsidP="00C02E65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</w:tabs>
              <w:spacing w:before="15" w:line="247" w:lineRule="auto"/>
              <w:ind w:left="775" w:right="358" w:hanging="27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P</w:t>
            </w:r>
            <w:r w:rsidR="000A1255">
              <w:rPr>
                <w:w w:val="105"/>
                <w:sz w:val="21"/>
              </w:rPr>
              <w:t>rovide</w:t>
            </w:r>
            <w:r w:rsidR="000A1255">
              <w:rPr>
                <w:spacing w:val="-4"/>
                <w:w w:val="105"/>
                <w:sz w:val="21"/>
              </w:rPr>
              <w:t xml:space="preserve"> </w:t>
            </w:r>
            <w:r w:rsidR="000A1255">
              <w:rPr>
                <w:w w:val="105"/>
                <w:sz w:val="21"/>
              </w:rPr>
              <w:t>a</w:t>
            </w:r>
            <w:r>
              <w:rPr>
                <w:w w:val="105"/>
                <w:sz w:val="21"/>
              </w:rPr>
              <w:t>ll</w:t>
            </w:r>
            <w:r w:rsidR="000A1255">
              <w:rPr>
                <w:spacing w:val="-4"/>
                <w:w w:val="105"/>
                <w:sz w:val="21"/>
              </w:rPr>
              <w:t xml:space="preserve"> </w:t>
            </w:r>
            <w:r w:rsidR="000A1255">
              <w:rPr>
                <w:w w:val="105"/>
                <w:sz w:val="21"/>
              </w:rPr>
              <w:t>closing</w:t>
            </w:r>
            <w:r w:rsidR="000A1255">
              <w:rPr>
                <w:spacing w:val="-4"/>
                <w:w w:val="105"/>
                <w:sz w:val="21"/>
              </w:rPr>
              <w:t xml:space="preserve"> </w:t>
            </w:r>
            <w:r w:rsidR="000A1255">
              <w:rPr>
                <w:w w:val="105"/>
                <w:sz w:val="21"/>
              </w:rPr>
              <w:t>memoranda</w:t>
            </w:r>
            <w:r w:rsidR="000A1255">
              <w:rPr>
                <w:spacing w:val="-4"/>
                <w:w w:val="105"/>
                <w:sz w:val="21"/>
              </w:rPr>
              <w:t xml:space="preserve"> </w:t>
            </w:r>
            <w:r w:rsidR="000A1255">
              <w:rPr>
                <w:w w:val="105"/>
                <w:sz w:val="21"/>
              </w:rPr>
              <w:t>and/or</w:t>
            </w:r>
            <w:r w:rsidR="000A1255">
              <w:rPr>
                <w:spacing w:val="-5"/>
                <w:w w:val="105"/>
                <w:sz w:val="21"/>
              </w:rPr>
              <w:t xml:space="preserve"> </w:t>
            </w:r>
            <w:r w:rsidR="000A1255">
              <w:rPr>
                <w:w w:val="105"/>
                <w:sz w:val="21"/>
              </w:rPr>
              <w:t>results</w:t>
            </w:r>
            <w:r w:rsidR="000A1255">
              <w:rPr>
                <w:spacing w:val="-5"/>
                <w:w w:val="105"/>
                <w:sz w:val="21"/>
              </w:rPr>
              <w:t xml:space="preserve"> </w:t>
            </w:r>
            <w:r w:rsidR="000A1255">
              <w:rPr>
                <w:w w:val="105"/>
                <w:sz w:val="21"/>
              </w:rPr>
              <w:t>from</w:t>
            </w:r>
            <w:r w:rsidR="000A1255">
              <w:rPr>
                <w:spacing w:val="-3"/>
                <w:w w:val="105"/>
                <w:sz w:val="21"/>
              </w:rPr>
              <w:t xml:space="preserve"> </w:t>
            </w:r>
            <w:r w:rsidR="000A1255">
              <w:rPr>
                <w:w w:val="105"/>
                <w:sz w:val="21"/>
              </w:rPr>
              <w:t>any</w:t>
            </w:r>
            <w:r w:rsidR="000A1255">
              <w:rPr>
                <w:spacing w:val="-5"/>
                <w:w w:val="105"/>
                <w:sz w:val="21"/>
              </w:rPr>
              <w:t xml:space="preserve"> </w:t>
            </w:r>
            <w:r w:rsidR="0095576C">
              <w:rPr>
                <w:spacing w:val="-5"/>
                <w:w w:val="105"/>
                <w:sz w:val="21"/>
              </w:rPr>
              <w:t xml:space="preserve">non-DE </w:t>
            </w:r>
            <w:r w:rsidR="000A1255">
              <w:rPr>
                <w:w w:val="105"/>
                <w:sz w:val="21"/>
              </w:rPr>
              <w:t>unclaimed</w:t>
            </w:r>
            <w:r w:rsidR="000A1255">
              <w:rPr>
                <w:spacing w:val="-4"/>
                <w:w w:val="105"/>
                <w:sz w:val="21"/>
              </w:rPr>
              <w:t xml:space="preserve"> </w:t>
            </w:r>
            <w:r w:rsidR="000A1255">
              <w:rPr>
                <w:w w:val="105"/>
                <w:sz w:val="21"/>
              </w:rPr>
              <w:t>property audits</w:t>
            </w:r>
            <w:r w:rsidR="006E160E">
              <w:rPr>
                <w:w w:val="105"/>
                <w:sz w:val="21"/>
              </w:rPr>
              <w:t xml:space="preserve"> or VDAs</w:t>
            </w:r>
            <w:r w:rsidR="000A1255">
              <w:rPr>
                <w:w w:val="105"/>
                <w:sz w:val="21"/>
              </w:rPr>
              <w:t>.</w:t>
            </w:r>
          </w:p>
        </w:tc>
      </w:tr>
      <w:tr w:rsidR="00CB4EDD" w14:paraId="4ED956C3" w14:textId="77777777" w:rsidTr="00C02E65">
        <w:trPr>
          <w:trHeight w:hRule="exact" w:val="622"/>
        </w:trPr>
        <w:tc>
          <w:tcPr>
            <w:tcW w:w="922" w:type="dxa"/>
          </w:tcPr>
          <w:p w14:paraId="1D26385D" w14:textId="46798386" w:rsidR="00CB4EDD" w:rsidRDefault="006B667F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F</w:t>
            </w:r>
            <w:r w:rsidR="000A1255">
              <w:rPr>
                <w:w w:val="105"/>
                <w:sz w:val="21"/>
              </w:rPr>
              <w:t>.</w:t>
            </w:r>
          </w:p>
        </w:tc>
        <w:tc>
          <w:tcPr>
            <w:tcW w:w="8659" w:type="dxa"/>
          </w:tcPr>
          <w:p w14:paraId="5E4D1988" w14:textId="6F7ED7B5" w:rsidR="00CB4EDD" w:rsidRDefault="006045B1" w:rsidP="006B667F">
            <w:pPr>
              <w:pStyle w:val="TableParagraph"/>
              <w:spacing w:line="252" w:lineRule="auto"/>
              <w:ind w:left="325"/>
              <w:rPr>
                <w:sz w:val="21"/>
              </w:rPr>
            </w:pPr>
            <w:r>
              <w:rPr>
                <w:w w:val="105"/>
                <w:sz w:val="21"/>
              </w:rPr>
              <w:t xml:space="preserve">Describe </w:t>
            </w:r>
            <w:r w:rsidR="006B667F">
              <w:rPr>
                <w:w w:val="105"/>
                <w:sz w:val="21"/>
              </w:rPr>
              <w:t>any</w:t>
            </w:r>
            <w:r>
              <w:rPr>
                <w:w w:val="105"/>
                <w:sz w:val="21"/>
              </w:rPr>
              <w:t xml:space="preserve"> material</w:t>
            </w:r>
            <w:r w:rsidR="006B667F">
              <w:rPr>
                <w:w w:val="105"/>
                <w:sz w:val="21"/>
              </w:rPr>
              <w:t xml:space="preserve"> internal</w:t>
            </w:r>
            <w:r>
              <w:rPr>
                <w:w w:val="105"/>
                <w:sz w:val="21"/>
              </w:rPr>
              <w:t xml:space="preserve"> practices</w:t>
            </w:r>
            <w:r w:rsidR="006B667F">
              <w:rPr>
                <w:w w:val="105"/>
                <w:sz w:val="21"/>
              </w:rPr>
              <w:t>/policies</w:t>
            </w:r>
            <w:r>
              <w:rPr>
                <w:w w:val="105"/>
                <w:sz w:val="21"/>
              </w:rPr>
              <w:t xml:space="preserve"> adopted or modified that resulted from the Company’s prior Delaware or other States audit examinations.</w:t>
            </w:r>
          </w:p>
        </w:tc>
      </w:tr>
      <w:tr w:rsidR="009A17DE" w14:paraId="2492C5A2" w14:textId="77777777" w:rsidTr="006B667F">
        <w:trPr>
          <w:trHeight w:hRule="exact" w:val="730"/>
        </w:trPr>
        <w:tc>
          <w:tcPr>
            <w:tcW w:w="922" w:type="dxa"/>
          </w:tcPr>
          <w:p w14:paraId="2445A0B5" w14:textId="206A9DEC" w:rsidR="009A17DE" w:rsidRDefault="006B667F">
            <w:pPr>
              <w:pStyle w:val="TableParagraph"/>
              <w:ind w:left="10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G.</w:t>
            </w:r>
          </w:p>
        </w:tc>
        <w:tc>
          <w:tcPr>
            <w:tcW w:w="8659" w:type="dxa"/>
          </w:tcPr>
          <w:p w14:paraId="1E32F94D" w14:textId="6E400AA4" w:rsidR="009A17DE" w:rsidDel="00166AE1" w:rsidRDefault="009A17DE" w:rsidP="006B667F">
            <w:pPr>
              <w:pStyle w:val="TableParagraph"/>
              <w:spacing w:line="252" w:lineRule="auto"/>
              <w:ind w:left="325" w:right="11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Are there any property types not included in the prior Audit/VDA with Delaware that the Company has identified and is now seeking a release?</w:t>
            </w:r>
          </w:p>
        </w:tc>
      </w:tr>
      <w:tr w:rsidR="00CB4EDD" w14:paraId="0EDF2623" w14:textId="77777777" w:rsidTr="006B667F">
        <w:trPr>
          <w:trHeight w:hRule="exact" w:val="361"/>
        </w:trPr>
        <w:tc>
          <w:tcPr>
            <w:tcW w:w="922" w:type="dxa"/>
          </w:tcPr>
          <w:p w14:paraId="3F11733D" w14:textId="0C3D94C5" w:rsidR="00CB4EDD" w:rsidRDefault="00C02E6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H</w:t>
            </w:r>
            <w:r w:rsidR="000A1255">
              <w:rPr>
                <w:w w:val="105"/>
                <w:sz w:val="21"/>
              </w:rPr>
              <w:t>.</w:t>
            </w:r>
          </w:p>
        </w:tc>
        <w:tc>
          <w:tcPr>
            <w:tcW w:w="8659" w:type="dxa"/>
          </w:tcPr>
          <w:p w14:paraId="67785844" w14:textId="308DBD71" w:rsidR="009D0C9D" w:rsidRDefault="00166AE1" w:rsidP="006B667F">
            <w:pPr>
              <w:pStyle w:val="TableParagraph"/>
              <w:spacing w:line="252" w:lineRule="auto"/>
              <w:ind w:left="325" w:right="115"/>
              <w:rPr>
                <w:sz w:val="21"/>
              </w:rPr>
            </w:pPr>
            <w:r>
              <w:rPr>
                <w:w w:val="105"/>
                <w:sz w:val="21"/>
              </w:rPr>
              <w:t xml:space="preserve">Does the </w:t>
            </w:r>
            <w:r w:rsidR="00950F53">
              <w:rPr>
                <w:w w:val="105"/>
                <w:sz w:val="21"/>
              </w:rPr>
              <w:t xml:space="preserve">Company </w:t>
            </w:r>
            <w:r>
              <w:rPr>
                <w:w w:val="105"/>
                <w:sz w:val="21"/>
              </w:rPr>
              <w:t>have c</w:t>
            </w:r>
            <w:r w:rsidR="004D7362">
              <w:rPr>
                <w:w w:val="105"/>
                <w:sz w:val="21"/>
              </w:rPr>
              <w:t>omplete</w:t>
            </w:r>
            <w:r w:rsidR="00950F53">
              <w:rPr>
                <w:w w:val="105"/>
                <w:sz w:val="21"/>
              </w:rPr>
              <w:t xml:space="preserve"> records</w:t>
            </w:r>
            <w:r w:rsidR="004D7362">
              <w:rPr>
                <w:w w:val="105"/>
                <w:sz w:val="21"/>
              </w:rPr>
              <w:t xml:space="preserve"> </w:t>
            </w:r>
            <w:r w:rsidR="00950F53">
              <w:rPr>
                <w:w w:val="105"/>
                <w:sz w:val="21"/>
              </w:rPr>
              <w:t>for the post-audit settlement period</w:t>
            </w:r>
            <w:r w:rsidR="009D0C9D">
              <w:rPr>
                <w:w w:val="105"/>
                <w:sz w:val="21"/>
              </w:rPr>
              <w:t>?</w:t>
            </w:r>
            <w:r w:rsidR="00950F53">
              <w:rPr>
                <w:w w:val="105"/>
                <w:sz w:val="21"/>
              </w:rPr>
              <w:t xml:space="preserve"> </w:t>
            </w:r>
          </w:p>
        </w:tc>
      </w:tr>
      <w:tr w:rsidR="00CB4EDD" w14:paraId="4762C130" w14:textId="77777777" w:rsidTr="00896310">
        <w:trPr>
          <w:trHeight w:hRule="exact" w:val="1162"/>
        </w:trPr>
        <w:tc>
          <w:tcPr>
            <w:tcW w:w="922" w:type="dxa"/>
          </w:tcPr>
          <w:p w14:paraId="69BAEB73" w14:textId="3DB49271" w:rsidR="00CB4EDD" w:rsidRDefault="00C02E6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I</w:t>
            </w:r>
            <w:r w:rsidR="000A1255">
              <w:rPr>
                <w:w w:val="105"/>
                <w:sz w:val="21"/>
              </w:rPr>
              <w:t>.</w:t>
            </w:r>
          </w:p>
        </w:tc>
        <w:tc>
          <w:tcPr>
            <w:tcW w:w="8659" w:type="dxa"/>
          </w:tcPr>
          <w:p w14:paraId="42E7883F" w14:textId="77777777" w:rsidR="00CB4EDD" w:rsidRDefault="000A1255" w:rsidP="006B667F">
            <w:pPr>
              <w:pStyle w:val="TableParagraph"/>
              <w:spacing w:line="252" w:lineRule="auto"/>
              <w:ind w:left="325"/>
              <w:rPr>
                <w:sz w:val="21"/>
              </w:rPr>
            </w:pPr>
            <w:r>
              <w:rPr>
                <w:w w:val="105"/>
                <w:sz w:val="21"/>
              </w:rPr>
              <w:t xml:space="preserve">Please </w:t>
            </w:r>
            <w:r w:rsidR="00CC48C3">
              <w:rPr>
                <w:w w:val="105"/>
                <w:sz w:val="21"/>
              </w:rPr>
              <w:t xml:space="preserve">list all </w:t>
            </w:r>
            <w:r>
              <w:rPr>
                <w:w w:val="105"/>
                <w:sz w:val="21"/>
              </w:rPr>
              <w:t xml:space="preserve">acquisitions made during the </w:t>
            </w:r>
            <w:r w:rsidR="00CC48C3">
              <w:rPr>
                <w:w w:val="105"/>
                <w:sz w:val="21"/>
              </w:rPr>
              <w:t>post-audit settlement period</w:t>
            </w:r>
            <w:r w:rsidR="004D7362">
              <w:rPr>
                <w:w w:val="105"/>
                <w:sz w:val="21"/>
              </w:rPr>
              <w:t xml:space="preserve"> and</w:t>
            </w:r>
            <w:r>
              <w:rPr>
                <w:w w:val="105"/>
                <w:sz w:val="21"/>
              </w:rPr>
              <w:t xml:space="preserve"> the nature of the acquisition</w:t>
            </w:r>
            <w:r w:rsidR="004D7362">
              <w:rPr>
                <w:w w:val="105"/>
                <w:sz w:val="21"/>
              </w:rPr>
              <w:t xml:space="preserve"> type,</w:t>
            </w:r>
            <w:r>
              <w:rPr>
                <w:w w:val="105"/>
                <w:sz w:val="21"/>
              </w:rPr>
              <w:t xml:space="preserve"> stock v. asset. Please include the target company’s state of incorporation for stock acquisitions, and the accounting treatment of potential unclaimed property liabilities assumed by the Company for asset acquisitions.</w:t>
            </w:r>
          </w:p>
        </w:tc>
      </w:tr>
      <w:tr w:rsidR="00CB4EDD" w14:paraId="5A92805E" w14:textId="77777777" w:rsidTr="00896310">
        <w:trPr>
          <w:trHeight w:hRule="exact" w:val="352"/>
        </w:trPr>
        <w:tc>
          <w:tcPr>
            <w:tcW w:w="922" w:type="dxa"/>
          </w:tcPr>
          <w:p w14:paraId="329A2249" w14:textId="123E3B1F" w:rsidR="00CB4EDD" w:rsidRDefault="00C02E6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J</w:t>
            </w:r>
            <w:r w:rsidR="000A1255">
              <w:rPr>
                <w:w w:val="105"/>
                <w:sz w:val="21"/>
              </w:rPr>
              <w:t>.</w:t>
            </w:r>
          </w:p>
        </w:tc>
        <w:tc>
          <w:tcPr>
            <w:tcW w:w="8659" w:type="dxa"/>
          </w:tcPr>
          <w:p w14:paraId="5E2207CF" w14:textId="77777777" w:rsidR="00CB4EDD" w:rsidRDefault="00896310" w:rsidP="006B667F">
            <w:pPr>
              <w:pStyle w:val="TableParagraph"/>
              <w:spacing w:line="252" w:lineRule="auto"/>
              <w:ind w:left="325"/>
              <w:rPr>
                <w:sz w:val="21"/>
              </w:rPr>
            </w:pPr>
            <w:r>
              <w:rPr>
                <w:w w:val="105"/>
                <w:sz w:val="21"/>
              </w:rPr>
              <w:t>Please provide the Company contact personnel.</w:t>
            </w:r>
          </w:p>
        </w:tc>
      </w:tr>
      <w:tr w:rsidR="00DB712A" w14:paraId="32F47A39" w14:textId="77777777" w:rsidTr="00896310">
        <w:trPr>
          <w:trHeight w:hRule="exact" w:val="352"/>
        </w:trPr>
        <w:tc>
          <w:tcPr>
            <w:tcW w:w="922" w:type="dxa"/>
          </w:tcPr>
          <w:p w14:paraId="41536CC4" w14:textId="50050BE5" w:rsidR="00DB712A" w:rsidRDefault="00C02E65" w:rsidP="00DB712A">
            <w:pPr>
              <w:pStyle w:val="TableParagraph"/>
              <w:ind w:left="10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K</w:t>
            </w:r>
            <w:r w:rsidR="00DB712A">
              <w:rPr>
                <w:w w:val="105"/>
                <w:sz w:val="21"/>
              </w:rPr>
              <w:t>.</w:t>
            </w:r>
          </w:p>
        </w:tc>
        <w:tc>
          <w:tcPr>
            <w:tcW w:w="8659" w:type="dxa"/>
          </w:tcPr>
          <w:p w14:paraId="38807425" w14:textId="77777777" w:rsidR="00DB712A" w:rsidRDefault="00DB712A" w:rsidP="006B667F">
            <w:pPr>
              <w:pStyle w:val="TableParagraph"/>
              <w:spacing w:line="252" w:lineRule="auto"/>
              <w:ind w:left="325" w:right="150"/>
              <w:rPr>
                <w:sz w:val="21"/>
              </w:rPr>
            </w:pPr>
            <w:r>
              <w:rPr>
                <w:w w:val="105"/>
                <w:sz w:val="21"/>
              </w:rPr>
              <w:t>Please provide the advocate accounting firm contact information, if applicable.</w:t>
            </w:r>
          </w:p>
        </w:tc>
      </w:tr>
      <w:tr w:rsidR="00DB712A" w14:paraId="4FA13140" w14:textId="77777777" w:rsidTr="00896310">
        <w:trPr>
          <w:trHeight w:hRule="exact" w:val="352"/>
        </w:trPr>
        <w:tc>
          <w:tcPr>
            <w:tcW w:w="922" w:type="dxa"/>
          </w:tcPr>
          <w:p w14:paraId="68019AD2" w14:textId="40D7A1DA" w:rsidR="00DB712A" w:rsidRDefault="00C02E65" w:rsidP="00DB712A">
            <w:pPr>
              <w:pStyle w:val="TableParagraph"/>
              <w:ind w:left="10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L</w:t>
            </w:r>
            <w:r w:rsidR="00DB712A">
              <w:rPr>
                <w:w w:val="105"/>
                <w:sz w:val="21"/>
              </w:rPr>
              <w:t>.</w:t>
            </w:r>
          </w:p>
        </w:tc>
        <w:tc>
          <w:tcPr>
            <w:tcW w:w="8659" w:type="dxa"/>
          </w:tcPr>
          <w:p w14:paraId="209D5A62" w14:textId="77777777" w:rsidR="00DB712A" w:rsidRDefault="00DB712A" w:rsidP="006B667F">
            <w:pPr>
              <w:pStyle w:val="TableParagraph"/>
              <w:spacing w:line="252" w:lineRule="auto"/>
              <w:ind w:left="32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Please provide the advocate law firm contact information, if applicable.</w:t>
            </w:r>
          </w:p>
        </w:tc>
      </w:tr>
    </w:tbl>
    <w:p w14:paraId="3B10C2A4" w14:textId="77777777" w:rsidR="00D315A1" w:rsidRDefault="00D315A1" w:rsidP="000F7F31">
      <w:pPr>
        <w:spacing w:line="252" w:lineRule="auto"/>
      </w:pPr>
    </w:p>
    <w:sectPr w:rsidR="00D315A1" w:rsidSect="00E351DC">
      <w:footerReference w:type="default" r:id="rId7"/>
      <w:footerReference w:type="first" r:id="rId8"/>
      <w:type w:val="continuous"/>
      <w:pgSz w:w="12240" w:h="15840"/>
      <w:pgMar w:top="576" w:right="1195" w:bottom="144" w:left="1224" w:header="720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704A7" w14:textId="77777777" w:rsidR="001111AF" w:rsidRDefault="001111AF">
      <w:r>
        <w:separator/>
      </w:r>
    </w:p>
  </w:endnote>
  <w:endnote w:type="continuationSeparator" w:id="0">
    <w:p w14:paraId="5E8CF625" w14:textId="77777777" w:rsidR="001111AF" w:rsidRDefault="0011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237BF" w14:textId="4F9B2496" w:rsidR="00CB4EDD" w:rsidRDefault="00DB712A">
    <w:pPr>
      <w:pStyle w:val="BodyText"/>
      <w:spacing w:line="14" w:lineRule="auto"/>
      <w:rPr>
        <w:sz w:val="20"/>
      </w:rPr>
    </w:pPr>
    <w:r w:rsidRPr="00DB712A"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EE0B2" wp14:editId="1BAEE86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F1858" w14:textId="77777777" w:rsidR="00DB712A" w:rsidRDefault="00DB712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F6EE0B2" id="Group 155" o:spid="_x0000_s1033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34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5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9BF1858" w14:textId="77777777" w:rsidR="00DB712A" w:rsidRDefault="00DB712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1E7936">
      <w:rPr>
        <w:noProof/>
      </w:rPr>
      <w:pict w14:anchorId="45EAB93D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4101" type="#_x0000_t202" style="position:absolute;margin-left:0;margin-top:0;width:201.6pt;height:32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I9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iy1Rl6nYLTfQ9uZoRt6LLLVPd3svymkZDrhoodu1FKDg2jFbAL7U3/ydUJ&#10;R1uQ7fBRVhCG7o10QGOtOls6KAYCdOjS46kzlkoJm9FiGbyL4KiEMxKGJHat82k63+6VNu+Z7JA1&#10;Mqyg8w6dHu60sWxoOrvYYEIWvG1d91vxbAMcpx2IDVftmWXhmvkzCZJNvImJR6LlxiNBnns3xZp4&#10;yyK8XOTv8vU6D3/ZuCFJG15VTNgws7BC8meNO0p8ksRJWlq2vLJwlpJWu+26VehAQdiF+1zN4eTs&#10;5j+n4YoAubxIKYxIcBslXrGMLz1SkIWXXAaxF4TJbbIMSELy4nlKd1ywf08JDRlOFtFiEtOZ9Ivc&#10;Ave9zo2mHTcwOlreZTg+OdHUSnAjKtdaQ3k72U9KYemfSwHtnhvtBGs1OqnVjNsRUKyKt7J6BOkq&#10;CcoCEcK8A6OR6gdGA8yODOvve6oYRu0HAfK3g2Y21GxsZ4OKEq5m2GA0mWszDaR9r/iuAeTpgQl5&#10;A0+k5k69ZxbHhwXzwCVxnF124Dz9d17nCbv6DQAA//8DAFBLAwQUAAYACAAAACEAxkJ0FNsAAAAE&#10;AQAADwAAAGRycy9kb3ducmV2LnhtbEyPwU7DMBBE70j8g7VI3KhNqaIS4lQVghMSIg0Hjk68TazG&#10;6xC7bfh7Fi5wWWk0o5m3xWb2gzjhFF0gDbcLBQKpDdZRp+G9fr5Zg4jJkDVDINTwhRE25eVFYXIb&#10;zlThaZc6wSUUc6OhT2nMpYxtj97ERRiR2NuHyZvEcuqkncyZy/0gl0pl0htHvNCbER97bA+7o9ew&#10;/aDqyX2+Nm/VvnJ1fa/oJTtofX01bx9AJJzTXxh+8BkdSmZqwpFsFIMGfiT9XvZW6m4JotGQrdYg&#10;y0L+hy+/AQAA//8DAFBLAQItABQABgAIAAAAIQC2gziS/gAAAOEBAAATAAAAAAAAAAAAAAAAAAAA&#10;AABbQ29udGVudF9UeXBlc10ueG1sUEsBAi0AFAAGAAgAAAAhADj9If/WAAAAlAEAAAsAAAAAAAAA&#10;AAAAAAAALwEAAF9yZWxzLy5yZWxzUEsBAi0AFAAGAAgAAAAhAEObEj2uAgAAqQUAAA4AAAAAAAAA&#10;AAAAAAAALgIAAGRycy9lMm9Eb2MueG1sUEsBAi0AFAAGAAgAAAAhAMZCdBTbAAAABAEAAA8AAAAA&#10;AAAAAAAAAAAACAUAAGRycy9kb3ducmV2LnhtbFBLBQYAAAAABAAEAPMAAAAQBgAAAAA=&#10;" filled="f" stroked="f">
          <v:textbox inset="0,0,0,0">
            <w:txbxContent>
              <w:p w14:paraId="58D1383E" w14:textId="02C2585B" w:rsidR="00C02E65" w:rsidRDefault="00C02E65">
                <w:pPr>
                  <w:pStyle w:val="MacPacTrailer"/>
                </w:pPr>
                <w:r>
                  <w:t>118798466.1</w:t>
                </w:r>
              </w:p>
              <w:p w14:paraId="6D678F9E" w14:textId="5F7069A4" w:rsidR="00C02E65" w:rsidRDefault="00C02E65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A8C0" w14:textId="77777777" w:rsidR="00C02E65" w:rsidRDefault="001E7936">
    <w:pPr>
      <w:pStyle w:val="Footer"/>
    </w:pPr>
    <w:r>
      <w:rPr>
        <w:noProof/>
      </w:rPr>
      <w:pict w14:anchorId="41700444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4102" type="#_x0000_t202" style="position:absolute;margin-left:0;margin-top:0;width:201.6pt;height:32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kbrw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YDb3rgM4KuAs9P0wsq1zSTLd7qTS76hokTFS&#10;LKHzFp0c7pUGHuA6uZhgXOSsaWz3G36xAY7jDsSGq+bMZGGb+SP24k20iUInDOYbJ/SyzFnm69CZ&#10;5/7NLLvO1uvM/2ni+mFSs7Kk3ISZhOWHf9a4o8RHSZykpUTDSgNnUlJyt103Eh0ICDu3n+kWJH/m&#10;5l6mYY+BywtKfhB6qyB28nl044R5OHPiGy9yPD9exXMvjMMsv6R0zzj9d0qoT3E8C2ajmH7LzbPf&#10;a24kaZmG0dGwNsXRyYkkRoIbXtrWasKa0T4rhUn/uRRQsanRVrBGo6Na9bAdji8DwIyYt6J8AgVL&#10;AQIDLcLYA6MW8jtGPYyQFKtveyIpRs17Dq/AzJvJkJOxnQzCC7iaYo3RaK71OJf2nWS7GpDHd8bF&#10;El5KxayIn7MABmYBY8FyOY4wM3fO19bredAufgEAAP//AwBQSwMEFAAGAAgAAAAhAMZCdBTbAAAA&#10;BAEAAA8AAABkcnMvZG93bnJldi54bWxMj8FOwzAQRO9I/IO1SNyoTamiEuJUFYITEiINB45OvE2s&#10;xusQu234exYucFlpNKOZt8Vm9oM44RRdIA23CwUCqQ3WUafhvX6+WYOIyZA1QyDU8IURNuXlRWFy&#10;G85U4WmXOsElFHOjoU9pzKWMbY/exEUYkdjbh8mbxHLqpJ3Mmcv9IJdKZdIbR7zQmxEfe2wPu6PX&#10;sP2g6sl9vjZv1b5ydX2v6CU7aH19NW8fQCSc018YfvAZHUpmasKRbBSDBn4k/V72VupuCaLRkK3W&#10;IMtC/ocvvwEAAP//AwBQSwECLQAUAAYACAAAACEAtoM4kv4AAADhAQAAEwAAAAAAAAAAAAAAAAAA&#10;AAAAW0NvbnRlbnRfVHlwZXNdLnhtbFBLAQItABQABgAIAAAAIQA4/SH/1gAAAJQBAAALAAAAAAAA&#10;AAAAAAAAAC8BAABfcmVscy8ucmVsc1BLAQItABQABgAIAAAAIQCtIrkbrwIAALAFAAAOAAAAAAAA&#10;AAAAAAAAAC4CAABkcnMvZTJvRG9jLnhtbFBLAQItABQABgAIAAAAIQDGQnQU2wAAAAQBAAAPAAAA&#10;AAAAAAAAAAAAAAkFAABkcnMvZG93bnJldi54bWxQSwUGAAAAAAQABADzAAAAEQYAAAAA&#10;" filled="f" stroked="f">
          <v:textbox inset="0,0,0,0">
            <w:txbxContent>
              <w:p w14:paraId="01608178" w14:textId="44470E9E" w:rsidR="00C02E65" w:rsidRDefault="00C02E65">
                <w:pPr>
                  <w:pStyle w:val="MacPacTrailer"/>
                </w:pPr>
                <w:r>
                  <w:t>118798466.1</w:t>
                </w:r>
              </w:p>
              <w:p w14:paraId="6E53871F" w14:textId="2F6697C5" w:rsidR="00C02E65" w:rsidRDefault="00C02E65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B4F68" w14:textId="77777777" w:rsidR="001111AF" w:rsidRDefault="001111AF">
      <w:r>
        <w:separator/>
      </w:r>
    </w:p>
  </w:footnote>
  <w:footnote w:type="continuationSeparator" w:id="0">
    <w:p w14:paraId="0BF392A2" w14:textId="77777777" w:rsidR="001111AF" w:rsidRDefault="0011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5D2"/>
    <w:multiLevelType w:val="hybridMultilevel"/>
    <w:tmpl w:val="33887898"/>
    <w:lvl w:ilvl="0" w:tplc="CF00EE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3B78FD3C"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8F8C66A4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24E6E872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105E6800">
      <w:numFmt w:val="bullet"/>
      <w:lvlText w:val="•"/>
      <w:lvlJc w:val="left"/>
      <w:pPr>
        <w:ind w:left="3951" w:hanging="360"/>
      </w:pPr>
      <w:rPr>
        <w:rFonts w:hint="default"/>
      </w:rPr>
    </w:lvl>
    <w:lvl w:ilvl="5" w:tplc="5686CBC2">
      <w:numFmt w:val="bullet"/>
      <w:lvlText w:val="•"/>
      <w:lvlJc w:val="left"/>
      <w:pPr>
        <w:ind w:left="4734" w:hanging="360"/>
      </w:pPr>
      <w:rPr>
        <w:rFonts w:hint="default"/>
      </w:rPr>
    </w:lvl>
    <w:lvl w:ilvl="6" w:tplc="7438E1D0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6B7AC176"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4ED6EB9A">
      <w:numFmt w:val="bullet"/>
      <w:lvlText w:val="•"/>
      <w:lvlJc w:val="left"/>
      <w:pPr>
        <w:ind w:left="7083" w:hanging="360"/>
      </w:pPr>
      <w:rPr>
        <w:rFonts w:hint="default"/>
      </w:rPr>
    </w:lvl>
  </w:abstractNum>
  <w:abstractNum w:abstractNumId="1" w15:restartNumberingAfterBreak="0">
    <w:nsid w:val="77D61F21"/>
    <w:multiLevelType w:val="hybridMultilevel"/>
    <w:tmpl w:val="ECD4255A"/>
    <w:lvl w:ilvl="0" w:tplc="46B4F6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5B685FC"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99A8451E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079C5F74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6D10A166">
      <w:numFmt w:val="bullet"/>
      <w:lvlText w:val="•"/>
      <w:lvlJc w:val="left"/>
      <w:pPr>
        <w:ind w:left="3951" w:hanging="360"/>
      </w:pPr>
      <w:rPr>
        <w:rFonts w:hint="default"/>
      </w:rPr>
    </w:lvl>
    <w:lvl w:ilvl="5" w:tplc="61AEE8BC">
      <w:numFmt w:val="bullet"/>
      <w:lvlText w:val="•"/>
      <w:lvlJc w:val="left"/>
      <w:pPr>
        <w:ind w:left="4734" w:hanging="360"/>
      </w:pPr>
      <w:rPr>
        <w:rFonts w:hint="default"/>
      </w:rPr>
    </w:lvl>
    <w:lvl w:ilvl="6" w:tplc="112C01C0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A52AC870"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08ECB048">
      <w:numFmt w:val="bullet"/>
      <w:lvlText w:val="•"/>
      <w:lvlJc w:val="left"/>
      <w:pPr>
        <w:ind w:left="708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teTempFile" w:val="C:\Users\Natalie\AppData\Local\Temp\fc9324a5-a613-455f-b189-08cff960283e.docx"/>
    <w:docVar w:name="zzmp10LastTrailerInserted" w:val="^`~#mp!@[!W#:┗┬79&lt;{śmS⌑ÅH⌗GçVpi6%⌋Lè5°⌈⌜ö!‟þÉ⌖⌍9⌒⌘wé¼D@‾Òaˋ”…‥ñ¶ƃ­Ɔ³&gt;”1⌒M.Û⌝jÝÕy¥èÖ1”⌘3À‼½hcO7⌔ª ⌔r[VN7õ³^þƆ=Î$l¨ÄpDŕÛýúý4ª×\⌑ƀ2‥․?bâ=¯ÿîÌSñ§T½l¦ÓÇ+}Á7×?ˡ⌠÷^⌑7Õµ:⌍]Z?8^c011"/>
    <w:docVar w:name="zzmp10LastTrailerInserted_1078" w:val="^`~#mp!@[!W#:┗┬79&lt;{śmS⌑ÅH⌗GçVpi6%⌋Lè5°⌈⌜ö!‟þÉ⌖⌍9⌒⌘wé¼D@‾Òaˋ”…‥ñ¶ƃ­Ɔ³&gt;”1⌒M.Û⌝jÝÕy¥èÖ1”⌘3À‼½hcO7⌔ª ⌔r[VN7õ³^þƆ=Î$l¨ÄpDŕÛýúý4ª×\⌑ƀ2‥․?bâ=¯ÿîÌSñ§T½l¦ÓÇ+}Á7×?ˡ⌠÷^⌑7Õµ:⌍]Z?8^c011"/>
    <w:docVar w:name="zzmp10mSEGsValidated" w:val="1"/>
    <w:docVar w:name="zzmpCompatibilityMode" w:val="15"/>
  </w:docVars>
  <w:rsids>
    <w:rsidRoot w:val="00CB4EDD"/>
    <w:rsid w:val="000527A5"/>
    <w:rsid w:val="000A1255"/>
    <w:rsid w:val="000C4422"/>
    <w:rsid w:val="000F7F31"/>
    <w:rsid w:val="001111AF"/>
    <w:rsid w:val="001222A2"/>
    <w:rsid w:val="00166AE1"/>
    <w:rsid w:val="001E7936"/>
    <w:rsid w:val="00255556"/>
    <w:rsid w:val="0027293E"/>
    <w:rsid w:val="0029237A"/>
    <w:rsid w:val="002C5D19"/>
    <w:rsid w:val="002C71DD"/>
    <w:rsid w:val="002D2AE2"/>
    <w:rsid w:val="00365DFB"/>
    <w:rsid w:val="003750BB"/>
    <w:rsid w:val="0039579A"/>
    <w:rsid w:val="00445B14"/>
    <w:rsid w:val="00474D07"/>
    <w:rsid w:val="00491325"/>
    <w:rsid w:val="004C2985"/>
    <w:rsid w:val="004D7362"/>
    <w:rsid w:val="00512456"/>
    <w:rsid w:val="00516231"/>
    <w:rsid w:val="00603166"/>
    <w:rsid w:val="006045B1"/>
    <w:rsid w:val="006077AF"/>
    <w:rsid w:val="006805D4"/>
    <w:rsid w:val="006B667F"/>
    <w:rsid w:val="006E160E"/>
    <w:rsid w:val="007073A0"/>
    <w:rsid w:val="0071409F"/>
    <w:rsid w:val="0075604E"/>
    <w:rsid w:val="007D68D5"/>
    <w:rsid w:val="00842A69"/>
    <w:rsid w:val="00876C2E"/>
    <w:rsid w:val="00896310"/>
    <w:rsid w:val="00934849"/>
    <w:rsid w:val="00947561"/>
    <w:rsid w:val="00950F53"/>
    <w:rsid w:val="0095576C"/>
    <w:rsid w:val="00995A2C"/>
    <w:rsid w:val="009A17DE"/>
    <w:rsid w:val="009D0C9D"/>
    <w:rsid w:val="00BD2197"/>
    <w:rsid w:val="00C02E65"/>
    <w:rsid w:val="00C06368"/>
    <w:rsid w:val="00CB4EDD"/>
    <w:rsid w:val="00CC48C3"/>
    <w:rsid w:val="00CD4402"/>
    <w:rsid w:val="00CF032B"/>
    <w:rsid w:val="00D12066"/>
    <w:rsid w:val="00D234D7"/>
    <w:rsid w:val="00D315A1"/>
    <w:rsid w:val="00D32A40"/>
    <w:rsid w:val="00DB712A"/>
    <w:rsid w:val="00E051C1"/>
    <w:rsid w:val="00E256A2"/>
    <w:rsid w:val="00E351DC"/>
    <w:rsid w:val="00E85731"/>
    <w:rsid w:val="00EB648E"/>
    <w:rsid w:val="00ED7619"/>
    <w:rsid w:val="00F2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,"/>
  <w14:docId w14:val="02DE9920"/>
  <w15:docId w15:val="{052DD24B-AC51-47B6-92EA-295F03EE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1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2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B7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66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AE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AE1"/>
    <w:rPr>
      <w:rFonts w:ascii="Calibri" w:eastAsia="Calibri" w:hAnsi="Calibri" w:cs="Calibri"/>
      <w:b/>
      <w:bCs/>
      <w:sz w:val="20"/>
      <w:szCs w:val="20"/>
    </w:rPr>
  </w:style>
  <w:style w:type="paragraph" w:customStyle="1" w:styleId="MacPacTrailer">
    <w:name w:val="MacPac Trailer"/>
    <w:rsid w:val="00C02E65"/>
    <w:pPr>
      <w:autoSpaceDE/>
      <w:autoSpaceDN/>
      <w:spacing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166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Scott</dc:creator>
  <cp:lastModifiedBy>Carroll, Steven L (DOS)</cp:lastModifiedBy>
  <cp:revision>3</cp:revision>
  <cp:lastPrinted>2019-05-09T14:51:00Z</cp:lastPrinted>
  <dcterms:created xsi:type="dcterms:W3CDTF">2019-05-09T16:08:00Z</dcterms:created>
  <dcterms:modified xsi:type="dcterms:W3CDTF">2019-05-29T13:14:00Z</dcterms:modified>
</cp:coreProperties>
</file>