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A7D6" w14:textId="60203BCF" w:rsidR="00410B9C" w:rsidRDefault="00BB631C">
      <w:pPr>
        <w:spacing w:before="68"/>
        <w:ind w:left="220"/>
        <w:jc w:val="both"/>
        <w:rPr>
          <w:sz w:val="24"/>
        </w:rPr>
      </w:pPr>
      <w:r>
        <w:rPr>
          <w:sz w:val="24"/>
        </w:rPr>
        <w:t>VDA-EEN</w:t>
      </w:r>
    </w:p>
    <w:p w14:paraId="2BE4A7D7" w14:textId="77777777" w:rsidR="00410B9C" w:rsidRDefault="00410B9C">
      <w:pPr>
        <w:pStyle w:val="BodyText"/>
        <w:spacing w:before="8"/>
        <w:rPr>
          <w:sz w:val="21"/>
        </w:rPr>
      </w:pPr>
    </w:p>
    <w:p w14:paraId="2BE4A7D8" w14:textId="260440DB" w:rsidR="00410B9C" w:rsidRDefault="00BB631C">
      <w:pPr>
        <w:spacing w:line="247" w:lineRule="auto"/>
        <w:ind w:left="1796" w:right="2054" w:firstLine="1"/>
        <w:jc w:val="center"/>
        <w:rPr>
          <w:b/>
          <w:sz w:val="23"/>
        </w:rPr>
      </w:pPr>
      <w:r>
        <w:rPr>
          <w:b/>
          <w:sz w:val="23"/>
        </w:rPr>
        <w:t xml:space="preserve">ESTABLISHMENT OF ESCROW </w:t>
      </w:r>
      <w:r w:rsidR="000A2333">
        <w:rPr>
          <w:b/>
          <w:sz w:val="23"/>
        </w:rPr>
        <w:t xml:space="preserve">AMOUNT </w:t>
      </w:r>
      <w:r>
        <w:rPr>
          <w:b/>
          <w:sz w:val="23"/>
        </w:rPr>
        <w:t>NOTICE</w:t>
      </w:r>
    </w:p>
    <w:p w14:paraId="2BE4A7D9" w14:textId="034A32F0" w:rsidR="00410B9C" w:rsidRDefault="00826836" w:rsidP="0074728A">
      <w:pPr>
        <w:spacing w:before="3"/>
        <w:ind w:left="1800" w:right="1960"/>
        <w:jc w:val="center"/>
        <w:rPr>
          <w:b/>
          <w:sz w:val="23"/>
        </w:rPr>
      </w:pPr>
      <w:r>
        <w:rPr>
          <w:b/>
          <w:sz w:val="23"/>
        </w:rPr>
        <w:t>PURSUANT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TO 12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  <w:u w:val="thick"/>
        </w:rPr>
        <w:t>Del.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C.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§</w:t>
      </w:r>
      <w:r w:rsidR="00AE4BBC">
        <w:rPr>
          <w:b/>
          <w:sz w:val="23"/>
        </w:rPr>
        <w:t>§ 114</w:t>
      </w:r>
      <w:r w:rsidR="0074728A">
        <w:rPr>
          <w:b/>
          <w:sz w:val="23"/>
        </w:rPr>
        <w:t>7 AND</w:t>
      </w:r>
      <w:r>
        <w:rPr>
          <w:b/>
          <w:sz w:val="23"/>
        </w:rPr>
        <w:t xml:space="preserve"> </w:t>
      </w:r>
      <w:r>
        <w:rPr>
          <w:b/>
          <w:spacing w:val="-4"/>
          <w:sz w:val="23"/>
        </w:rPr>
        <w:t>1173</w:t>
      </w:r>
      <w:r w:rsidR="00F22536">
        <w:rPr>
          <w:b/>
          <w:spacing w:val="-4"/>
          <w:sz w:val="23"/>
        </w:rPr>
        <w:t xml:space="preserve"> </w:t>
      </w:r>
    </w:p>
    <w:p w14:paraId="40F331FE" w14:textId="4CD17807" w:rsidR="00B91933" w:rsidRDefault="00B91933" w:rsidP="000A17D4">
      <w:pPr>
        <w:pStyle w:val="BodyText"/>
        <w:tabs>
          <w:tab w:val="left" w:pos="8091"/>
        </w:tabs>
        <w:spacing w:before="189"/>
        <w:ind w:left="220" w:right="260"/>
        <w:jc w:val="both"/>
      </w:pPr>
      <w:r>
        <w:t xml:space="preserve">Dear </w:t>
      </w:r>
      <w:r w:rsidR="000A17D4">
        <w:t>[</w:t>
      </w:r>
      <w:r w:rsidR="000A17D4" w:rsidRPr="008361A7">
        <w:rPr>
          <w:highlight w:val="yellow"/>
        </w:rPr>
        <w:t>PURCHASING ENTITY</w:t>
      </w:r>
      <w:r w:rsidR="000A17D4">
        <w:t xml:space="preserve">] </w:t>
      </w:r>
      <w:r w:rsidR="000B76AE">
        <w:t>(“</w:t>
      </w:r>
      <w:r>
        <w:t>Purchaser</w:t>
      </w:r>
      <w:r w:rsidR="00FD025D">
        <w:t>”)</w:t>
      </w:r>
      <w:r>
        <w:t>:</w:t>
      </w:r>
    </w:p>
    <w:p w14:paraId="26870CE5" w14:textId="7CDF8E6A" w:rsidR="00B91933" w:rsidRDefault="00B91933" w:rsidP="00DE5E8C">
      <w:pPr>
        <w:pStyle w:val="BodyText"/>
        <w:tabs>
          <w:tab w:val="left" w:pos="8091"/>
        </w:tabs>
        <w:spacing w:before="189"/>
        <w:ind w:left="220" w:right="260"/>
        <w:jc w:val="both"/>
        <w:rPr>
          <w:bCs/>
          <w:spacing w:val="-4"/>
        </w:rPr>
      </w:pPr>
      <w:r>
        <w:t xml:space="preserve">Take </w:t>
      </w:r>
      <w:r w:rsidR="000A2333">
        <w:t>n</w:t>
      </w:r>
      <w:r>
        <w:t xml:space="preserve">otice that under the authority of </w:t>
      </w:r>
      <w:r w:rsidRPr="00B91933">
        <w:rPr>
          <w:bCs/>
        </w:rPr>
        <w:t>12</w:t>
      </w:r>
      <w:r w:rsidRPr="00B91933">
        <w:rPr>
          <w:bCs/>
          <w:spacing w:val="-1"/>
        </w:rPr>
        <w:t xml:space="preserve"> </w:t>
      </w:r>
      <w:r w:rsidRPr="00B91933">
        <w:rPr>
          <w:bCs/>
          <w:u w:val="thick"/>
        </w:rPr>
        <w:t>Del.</w:t>
      </w:r>
      <w:r w:rsidRPr="00B91933">
        <w:rPr>
          <w:bCs/>
          <w:spacing w:val="-3"/>
          <w:u w:val="thick"/>
        </w:rPr>
        <w:t xml:space="preserve"> </w:t>
      </w:r>
      <w:r w:rsidRPr="00B91933">
        <w:rPr>
          <w:bCs/>
          <w:u w:val="thick"/>
        </w:rPr>
        <w:t>C.</w:t>
      </w:r>
      <w:r w:rsidRPr="00B91933">
        <w:rPr>
          <w:bCs/>
          <w:spacing w:val="-1"/>
        </w:rPr>
        <w:t xml:space="preserve"> </w:t>
      </w:r>
      <w:r w:rsidRPr="00B91933">
        <w:rPr>
          <w:bCs/>
        </w:rPr>
        <w:t xml:space="preserve">§§ 1147 AND </w:t>
      </w:r>
      <w:r w:rsidRPr="00B91933">
        <w:rPr>
          <w:bCs/>
          <w:spacing w:val="-4"/>
        </w:rPr>
        <w:t>1173</w:t>
      </w:r>
      <w:r w:rsidR="00BC5576">
        <w:rPr>
          <w:bCs/>
          <w:spacing w:val="-4"/>
        </w:rPr>
        <w:t xml:space="preserve">, the State of Delaware, by and through the Delaware Secretary of State (“State”), acting by its undersigned duly authorized representative, </w:t>
      </w:r>
      <w:r w:rsidR="00295556">
        <w:rPr>
          <w:bCs/>
          <w:spacing w:val="-4"/>
        </w:rPr>
        <w:t xml:space="preserve">has determined from a review of information and documentation provided to it pursuant to the </w:t>
      </w:r>
      <w:r w:rsidR="002F1D0B">
        <w:rPr>
          <w:bCs/>
          <w:spacing w:val="-4"/>
        </w:rPr>
        <w:t xml:space="preserve">Voluntary Disclosure Agreement </w:t>
      </w:r>
      <w:r w:rsidR="00FE03E1">
        <w:rPr>
          <w:bCs/>
          <w:spacing w:val="-4"/>
        </w:rPr>
        <w:t xml:space="preserve">(“Agreement”) </w:t>
      </w:r>
      <w:r w:rsidR="002F1D0B">
        <w:rPr>
          <w:bCs/>
          <w:spacing w:val="-4"/>
        </w:rPr>
        <w:t xml:space="preserve">Form VDA-1M&amp;A that </w:t>
      </w:r>
      <w:r w:rsidR="001552F3">
        <w:rPr>
          <w:bCs/>
          <w:spacing w:val="-4"/>
        </w:rPr>
        <w:t>[</w:t>
      </w:r>
      <w:r w:rsidR="001552F3" w:rsidRPr="008361A7">
        <w:rPr>
          <w:bCs/>
          <w:spacing w:val="-4"/>
          <w:highlight w:val="yellow"/>
        </w:rPr>
        <w:t>TARGET</w:t>
      </w:r>
      <w:r w:rsidR="001552F3">
        <w:rPr>
          <w:bCs/>
          <w:spacing w:val="-4"/>
        </w:rPr>
        <w:t>] (“Target”) is liable for a deficiency in</w:t>
      </w:r>
      <w:r w:rsidR="00BF5EC4">
        <w:rPr>
          <w:bCs/>
          <w:spacing w:val="-4"/>
        </w:rPr>
        <w:t xml:space="preserve"> reported Abandoned or Unclaimed Property.</w:t>
      </w:r>
    </w:p>
    <w:p w14:paraId="78ECACBE" w14:textId="419DD6C5" w:rsidR="001147DD" w:rsidRPr="00B91933" w:rsidRDefault="000A17D4" w:rsidP="00DE5E8C">
      <w:pPr>
        <w:pStyle w:val="BodyText"/>
        <w:tabs>
          <w:tab w:val="left" w:pos="8091"/>
        </w:tabs>
        <w:spacing w:before="189"/>
        <w:ind w:left="220" w:right="260"/>
        <w:jc w:val="both"/>
        <w:rPr>
          <w:bCs/>
        </w:rPr>
      </w:pPr>
      <w:r>
        <w:rPr>
          <w:bCs/>
          <w:spacing w:val="-4"/>
        </w:rPr>
        <w:t>Pursuant to the terms of the</w:t>
      </w:r>
      <w:r w:rsidR="001147DD">
        <w:rPr>
          <w:bCs/>
          <w:spacing w:val="-4"/>
        </w:rPr>
        <w:t xml:space="preserve"> </w:t>
      </w:r>
      <w:r w:rsidR="00FE03E1">
        <w:rPr>
          <w:bCs/>
          <w:spacing w:val="-4"/>
        </w:rPr>
        <w:t>Agreement</w:t>
      </w:r>
      <w:r w:rsidR="0039579C">
        <w:rPr>
          <w:bCs/>
          <w:spacing w:val="-4"/>
        </w:rPr>
        <w:t xml:space="preserve"> and </w:t>
      </w:r>
      <w:r w:rsidR="0039579C">
        <w:rPr>
          <w:spacing w:val="-4"/>
        </w:rPr>
        <w:t>1</w:t>
      </w:r>
      <w:r w:rsidR="0039579C">
        <w:t xml:space="preserve">2 </w:t>
      </w:r>
      <w:r w:rsidR="0039579C" w:rsidRPr="000D5604">
        <w:rPr>
          <w:u w:val="single"/>
        </w:rPr>
        <w:t>Del. C.</w:t>
      </w:r>
      <w:r w:rsidR="0039579C">
        <w:t xml:space="preserve"> §1147</w:t>
      </w:r>
      <w:r>
        <w:rPr>
          <w:bCs/>
          <w:spacing w:val="-4"/>
        </w:rPr>
        <w:t>, the</w:t>
      </w:r>
      <w:r>
        <w:t xml:space="preserve"> State agrees to limit any successor liability of Purchaser related to its acquisition of Target to </w:t>
      </w:r>
      <w:r w:rsidR="001E2E64">
        <w:t>[</w:t>
      </w:r>
      <w:r w:rsidR="0040497E" w:rsidRPr="00F01F7B">
        <w:rPr>
          <w:highlight w:val="yellow"/>
        </w:rPr>
        <w:t>$X</w:t>
      </w:r>
      <w:r w:rsidR="0040497E">
        <w:t>].</w:t>
      </w:r>
      <w:r w:rsidR="009B494F">
        <w:t xml:space="preserve">  There is no legal requirement to maintain these funds in a</w:t>
      </w:r>
      <w:r w:rsidR="00D80E40">
        <w:t xml:space="preserve"> separate account, but the State suggests that </w:t>
      </w:r>
      <w:r w:rsidR="009F685A">
        <w:t>purch</w:t>
      </w:r>
      <w:r w:rsidR="002C370F">
        <w:t xml:space="preserve">ase price proceeds be escrowed in this amount </w:t>
      </w:r>
      <w:r w:rsidR="00E76788">
        <w:t>because as of the date of acquisition of Target</w:t>
      </w:r>
      <w:r w:rsidR="00E46B4D">
        <w:t xml:space="preserve">, Purchaser </w:t>
      </w:r>
      <w:r w:rsidR="00AC35B3">
        <w:t>becomes responsible for any historic Abandoned and Unclaimed Property liabilities of Target</w:t>
      </w:r>
      <w:r w:rsidR="00F01F7B">
        <w:t xml:space="preserve"> capped at this amount</w:t>
      </w:r>
      <w:r w:rsidR="00AC35B3">
        <w:t>.</w:t>
      </w:r>
    </w:p>
    <w:p w14:paraId="1F11D47B" w14:textId="7C900BA9" w:rsidR="00E50FF6" w:rsidRDefault="00E70662" w:rsidP="001302B3">
      <w:pPr>
        <w:pStyle w:val="BodyText"/>
        <w:tabs>
          <w:tab w:val="left" w:pos="8091"/>
        </w:tabs>
        <w:spacing w:before="189"/>
        <w:ind w:left="220" w:right="260"/>
        <w:jc w:val="both"/>
      </w:pPr>
      <w:r>
        <w:t xml:space="preserve">As is provided in the Agreement executed by Purchaser </w:t>
      </w:r>
      <w:r w:rsidR="00B733A0">
        <w:t>t</w:t>
      </w:r>
      <w:r>
        <w:t xml:space="preserve">o </w:t>
      </w:r>
      <w:proofErr w:type="gramStart"/>
      <w:r>
        <w:t>enter into</w:t>
      </w:r>
      <w:proofErr w:type="gramEnd"/>
      <w:r>
        <w:t xml:space="preserve"> a Voluntary Disclosure </w:t>
      </w:r>
      <w:r w:rsidR="00B733A0">
        <w:t xml:space="preserve">Closing </w:t>
      </w:r>
      <w:r>
        <w:t xml:space="preserve">Agreement, Purchaser may choose to pay the abandoned or unclaimed property liability listed </w:t>
      </w:r>
      <w:r w:rsidR="00884AC3">
        <w:t>in th</w:t>
      </w:r>
      <w:r w:rsidR="00514777">
        <w:t xml:space="preserve">is document or </w:t>
      </w:r>
      <w:r>
        <w:t>complete a self-review of Target’s books and records following its acquisition.  Should Purchaser choose this self-review, it agrees to</w:t>
      </w:r>
      <w:r>
        <w:rPr>
          <w:spacing w:val="22"/>
        </w:rPr>
        <w:t xml:space="preserve"> </w:t>
      </w:r>
      <w:r>
        <w:t>file</w:t>
      </w:r>
      <w:r>
        <w:rPr>
          <w:spacing w:val="21"/>
        </w:rPr>
        <w:t xml:space="preserve"> </w:t>
      </w:r>
      <w:r>
        <w:t>reports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abandoned</w:t>
      </w:r>
      <w:r>
        <w:rPr>
          <w:spacing w:val="21"/>
        </w:rPr>
        <w:t xml:space="preserve"> </w:t>
      </w:r>
      <w:r>
        <w:t>property</w:t>
      </w:r>
      <w:r>
        <w:rPr>
          <w:spacing w:val="21"/>
        </w:rPr>
        <w:t xml:space="preserve"> </w:t>
      </w:r>
      <w:r>
        <w:t>related to all transaction years beginning [</w:t>
      </w:r>
      <w:r w:rsidRPr="00F34D3D">
        <w:rPr>
          <w:highlight w:val="yellow"/>
        </w:rPr>
        <w:t xml:space="preserve">January 1, </w:t>
      </w:r>
      <w:proofErr w:type="gramStart"/>
      <w:r w:rsidRPr="00F34D3D">
        <w:rPr>
          <w:highlight w:val="yellow"/>
        </w:rPr>
        <w:t>2008</w:t>
      </w:r>
      <w:proofErr w:type="gramEnd"/>
      <w:r w:rsidRPr="00F34D3D">
        <w:rPr>
          <w:highlight w:val="yellow"/>
        </w:rPr>
        <w:t xml:space="preserve"> for a VDA-1M&amp;A submitted in 2023</w:t>
      </w:r>
      <w:r>
        <w:t>] (i.e., property presumed abandoned pursuant to the Abandoned or Unclaimed Property Law)</w:t>
      </w:r>
      <w:r>
        <w:rPr>
          <w:spacing w:val="23"/>
        </w:rPr>
        <w:t xml:space="preserve"> </w:t>
      </w:r>
      <w:r>
        <w:t>to the</w:t>
      </w:r>
      <w:r>
        <w:rPr>
          <w:spacing w:val="17"/>
        </w:rPr>
        <w:t xml:space="preserve"> </w:t>
      </w:r>
      <w:r>
        <w:t>present.</w:t>
      </w:r>
      <w:r>
        <w:rPr>
          <w:spacing w:val="80"/>
        </w:rPr>
        <w:t xml:space="preserve"> </w:t>
      </w:r>
      <w:r>
        <w:t>Purchaser’s self-review shall be completed in a manner which is consistent 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“Department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State</w:t>
      </w:r>
      <w:r>
        <w:rPr>
          <w:spacing w:val="40"/>
        </w:rPr>
        <w:t xml:space="preserve"> </w:t>
      </w:r>
      <w:r>
        <w:t>Abandoned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Unclaimed</w:t>
      </w:r>
      <w:r>
        <w:rPr>
          <w:spacing w:val="40"/>
        </w:rPr>
        <w:t xml:space="preserve"> </w:t>
      </w:r>
      <w:r>
        <w:t>Property</w:t>
      </w:r>
      <w:r>
        <w:rPr>
          <w:spacing w:val="33"/>
        </w:rPr>
        <w:t xml:space="preserve"> </w:t>
      </w:r>
      <w:r>
        <w:t>Voluntary</w:t>
      </w:r>
      <w:r>
        <w:rPr>
          <w:spacing w:val="40"/>
        </w:rPr>
        <w:t xml:space="preserve"> </w:t>
      </w:r>
      <w:r>
        <w:t>Disclosure</w:t>
      </w:r>
      <w:r>
        <w:rPr>
          <w:spacing w:val="40"/>
        </w:rPr>
        <w:t xml:space="preserve"> </w:t>
      </w:r>
      <w:r>
        <w:t>Agreement</w:t>
      </w:r>
      <w:r>
        <w:rPr>
          <w:spacing w:val="40"/>
        </w:rPr>
        <w:t xml:space="preserve"> </w:t>
      </w:r>
      <w:r>
        <w:t>Program Regulations</w:t>
      </w:r>
      <w:r>
        <w:rPr>
          <w:spacing w:val="80"/>
        </w:rPr>
        <w:t xml:space="preserve"> </w:t>
      </w:r>
      <w:r>
        <w:t>Relating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Estimation,”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“Secretary</w:t>
      </w:r>
      <w:r>
        <w:rPr>
          <w:spacing w:val="8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State’s</w:t>
      </w:r>
      <w:r>
        <w:rPr>
          <w:spacing w:val="80"/>
        </w:rPr>
        <w:t xml:space="preserve"> </w:t>
      </w:r>
      <w:r>
        <w:t>Implementing</w:t>
      </w:r>
      <w:r>
        <w:rPr>
          <w:spacing w:val="80"/>
        </w:rPr>
        <w:t xml:space="preserve"> </w:t>
      </w:r>
      <w:r>
        <w:t>Guidelines</w:t>
      </w:r>
      <w:r>
        <w:rPr>
          <w:spacing w:val="80"/>
        </w:rPr>
        <w:t xml:space="preserve"> </w:t>
      </w:r>
      <w:r>
        <w:t>Abandoned</w:t>
      </w:r>
      <w:r>
        <w:rPr>
          <w:spacing w:val="80"/>
        </w:rPr>
        <w:t xml:space="preserve"> </w:t>
      </w:r>
      <w:r>
        <w:t>or Unclaimed</w:t>
      </w:r>
      <w:r>
        <w:rPr>
          <w:spacing w:val="38"/>
        </w:rPr>
        <w:t xml:space="preserve"> </w:t>
      </w:r>
      <w:r>
        <w:t>Property</w:t>
      </w:r>
      <w:r>
        <w:rPr>
          <w:spacing w:val="34"/>
        </w:rPr>
        <w:t xml:space="preserve"> </w:t>
      </w:r>
      <w:r>
        <w:t>Voluntary</w:t>
      </w:r>
      <w:r>
        <w:rPr>
          <w:spacing w:val="40"/>
        </w:rPr>
        <w:t xml:space="preserve"> </w:t>
      </w:r>
      <w:r>
        <w:t>Disclosure</w:t>
      </w:r>
      <w:r>
        <w:rPr>
          <w:spacing w:val="39"/>
        </w:rPr>
        <w:t xml:space="preserve"> </w:t>
      </w:r>
      <w:r>
        <w:t>Agreement</w:t>
      </w:r>
      <w:r>
        <w:rPr>
          <w:spacing w:val="38"/>
        </w:rPr>
        <w:t xml:space="preserve"> </w:t>
      </w:r>
      <w:r>
        <w:t>Program”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associated</w:t>
      </w:r>
      <w:r>
        <w:rPr>
          <w:spacing w:val="38"/>
        </w:rPr>
        <w:t xml:space="preserve"> </w:t>
      </w:r>
      <w:r>
        <w:t>deliverables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outlined</w:t>
      </w:r>
      <w:r>
        <w:rPr>
          <w:spacing w:val="38"/>
        </w:rPr>
        <w:t xml:space="preserve"> </w:t>
      </w:r>
      <w:r>
        <w:t>in these documents.</w:t>
      </w:r>
    </w:p>
    <w:p w14:paraId="5281FBC2" w14:textId="37FC75E0" w:rsidR="00E50FF6" w:rsidRDefault="00E50FF6" w:rsidP="001302B3">
      <w:pPr>
        <w:pStyle w:val="BodyText"/>
        <w:tabs>
          <w:tab w:val="left" w:pos="8091"/>
        </w:tabs>
        <w:spacing w:before="189"/>
        <w:ind w:left="270" w:right="260"/>
        <w:jc w:val="both"/>
      </w:pPr>
      <w:r>
        <w:t xml:space="preserve">Purchaser is reminded that holders </w:t>
      </w:r>
      <w:proofErr w:type="gramStart"/>
      <w:r>
        <w:t>at all times</w:t>
      </w:r>
      <w:proofErr w:type="gramEnd"/>
      <w:r>
        <w:t xml:space="preserve"> assume the applicable reporting responsibilities for abandoned and unclaimed property amounts where names and addresses do exist which may be due or payable to other states; these amounts are not subject to any release and indemnification provisions received through this program.</w:t>
      </w:r>
    </w:p>
    <w:p w14:paraId="529648E3" w14:textId="7A2D720F" w:rsidR="00514777" w:rsidRDefault="00D3624A" w:rsidP="00DE5E8C">
      <w:pPr>
        <w:pStyle w:val="BodyText"/>
        <w:tabs>
          <w:tab w:val="left" w:pos="8091"/>
        </w:tabs>
        <w:spacing w:before="189"/>
        <w:ind w:left="220" w:right="260"/>
        <w:jc w:val="both"/>
      </w:pPr>
      <w:r>
        <w:t xml:space="preserve">At the time of acquisition of Target, Purchaser is obligated to inform the State if Target, or any subsidiary and/or related entity participating, is ineligible </w:t>
      </w:r>
      <w:r w:rsidR="00E17ABA">
        <w:t xml:space="preserve">pursuant to </w:t>
      </w:r>
      <w:r w:rsidR="00057A9A">
        <w:t>1</w:t>
      </w:r>
      <w:r w:rsidR="00E17ABA">
        <w:t xml:space="preserve">2 </w:t>
      </w:r>
      <w:r w:rsidR="00E17ABA" w:rsidRPr="000D5604">
        <w:rPr>
          <w:u w:val="single"/>
        </w:rPr>
        <w:t>Del. C.</w:t>
      </w:r>
      <w:r w:rsidR="00E17ABA">
        <w:t xml:space="preserve"> §1</w:t>
      </w:r>
      <w:r w:rsidR="00057A9A">
        <w:t>1</w:t>
      </w:r>
      <w:r w:rsidR="00E17ABA">
        <w:t>73(e) or any other provision of Delaware law, in which case the Agreement</w:t>
      </w:r>
      <w:r w:rsidR="00E17ABA">
        <w:rPr>
          <w:spacing w:val="32"/>
        </w:rPr>
        <w:t xml:space="preserve"> </w:t>
      </w:r>
      <w:r w:rsidR="00E17ABA">
        <w:t>Form</w:t>
      </w:r>
      <w:r w:rsidR="00E17ABA">
        <w:rPr>
          <w:spacing w:val="40"/>
        </w:rPr>
        <w:t xml:space="preserve"> </w:t>
      </w:r>
      <w:r w:rsidR="00E17ABA">
        <w:t>VDA-1M&amp;A</w:t>
      </w:r>
      <w:r w:rsidR="00E17ABA">
        <w:rPr>
          <w:spacing w:val="32"/>
        </w:rPr>
        <w:t xml:space="preserve"> </w:t>
      </w:r>
      <w:r w:rsidR="00E17ABA">
        <w:t>enrollment</w:t>
      </w:r>
      <w:r w:rsidR="00E17ABA">
        <w:rPr>
          <w:spacing w:val="32"/>
        </w:rPr>
        <w:t xml:space="preserve"> </w:t>
      </w:r>
      <w:r w:rsidR="00E17ABA">
        <w:t>shall</w:t>
      </w:r>
      <w:r w:rsidR="00E17ABA">
        <w:rPr>
          <w:spacing w:val="30"/>
        </w:rPr>
        <w:t xml:space="preserve"> </w:t>
      </w:r>
      <w:r w:rsidR="00E17ABA">
        <w:t>be</w:t>
      </w:r>
      <w:r w:rsidR="00E17ABA">
        <w:rPr>
          <w:spacing w:val="40"/>
        </w:rPr>
        <w:t xml:space="preserve"> </w:t>
      </w:r>
      <w:r w:rsidR="00E17ABA">
        <w:t>deemed null</w:t>
      </w:r>
      <w:r w:rsidR="00E17ABA">
        <w:rPr>
          <w:spacing w:val="40"/>
        </w:rPr>
        <w:t xml:space="preserve"> </w:t>
      </w:r>
      <w:r w:rsidR="00E17ABA">
        <w:t>and</w:t>
      </w:r>
      <w:r w:rsidR="00E17ABA">
        <w:rPr>
          <w:spacing w:val="40"/>
        </w:rPr>
        <w:t xml:space="preserve"> </w:t>
      </w:r>
      <w:r w:rsidR="00E17ABA">
        <w:t>void</w:t>
      </w:r>
      <w:r w:rsidR="00E17ABA">
        <w:rPr>
          <w:spacing w:val="40"/>
        </w:rPr>
        <w:t xml:space="preserve"> </w:t>
      </w:r>
      <w:r w:rsidR="00E17ABA">
        <w:t>only</w:t>
      </w:r>
      <w:r w:rsidR="00E17ABA">
        <w:rPr>
          <w:spacing w:val="40"/>
        </w:rPr>
        <w:t xml:space="preserve"> </w:t>
      </w:r>
      <w:r w:rsidR="00E17ABA">
        <w:t>with</w:t>
      </w:r>
      <w:r w:rsidR="00E17ABA">
        <w:rPr>
          <w:spacing w:val="40"/>
        </w:rPr>
        <w:t xml:space="preserve"> </w:t>
      </w:r>
      <w:r w:rsidR="00E17ABA">
        <w:t>respect</w:t>
      </w:r>
      <w:r w:rsidR="00E17ABA">
        <w:rPr>
          <w:spacing w:val="40"/>
        </w:rPr>
        <w:t xml:space="preserve"> </w:t>
      </w:r>
      <w:r w:rsidR="00E17ABA">
        <w:t>to</w:t>
      </w:r>
      <w:r w:rsidR="00E17ABA">
        <w:rPr>
          <w:spacing w:val="40"/>
        </w:rPr>
        <w:t xml:space="preserve"> </w:t>
      </w:r>
      <w:r w:rsidR="00E17ABA">
        <w:t>those</w:t>
      </w:r>
      <w:r w:rsidR="00E17ABA">
        <w:rPr>
          <w:spacing w:val="40"/>
        </w:rPr>
        <w:t xml:space="preserve"> </w:t>
      </w:r>
      <w:r w:rsidR="00E17ABA">
        <w:t>entities which are deemed ineligible to participate</w:t>
      </w:r>
      <w:r w:rsidR="00FF359D">
        <w:t>.</w:t>
      </w:r>
    </w:p>
    <w:p w14:paraId="323B9027" w14:textId="122B3B9E" w:rsidR="00A650AC" w:rsidRDefault="00A650AC" w:rsidP="00DE5E8C">
      <w:pPr>
        <w:pStyle w:val="BodyText"/>
        <w:tabs>
          <w:tab w:val="left" w:pos="8091"/>
        </w:tabs>
        <w:spacing w:before="189"/>
        <w:ind w:left="220" w:right="260"/>
        <w:jc w:val="both"/>
      </w:pPr>
      <w:r>
        <w:t xml:space="preserve">The Form VDA-1M&amp;A Agreement will automatically </w:t>
      </w:r>
      <w:proofErr w:type="gramStart"/>
      <w:r>
        <w:t>terminate</w:t>
      </w:r>
      <w:proofErr w:type="gramEnd"/>
      <w:r w:rsidR="008D0440">
        <w:t xml:space="preserve"> and this Notice will have no effect on Purchaser, Seller, or Target,</w:t>
      </w:r>
      <w:r>
        <w:t xml:space="preserve"> if Purchaser fails to acquire Target, which shall be evidenced by Purchaser’s delivery of written notice thereof to State</w:t>
      </w:r>
      <w:r w:rsidR="009E013A">
        <w:t>.</w:t>
      </w:r>
    </w:p>
    <w:p w14:paraId="2BE4A878" w14:textId="0EA58C29" w:rsidR="00BC4FA3" w:rsidRDefault="008D0FDB" w:rsidP="00DE50D6">
      <w:pPr>
        <w:spacing w:before="161"/>
        <w:ind w:left="180" w:right="631"/>
      </w:pPr>
      <w:r>
        <w:rPr>
          <w:sz w:val="24"/>
        </w:rPr>
        <w:t xml:space="preserve">Communication should be sent via e-mail to </w:t>
      </w:r>
      <w:hyperlink r:id="rId7">
        <w:r>
          <w:rPr>
            <w:color w:val="0000FF"/>
            <w:sz w:val="24"/>
            <w:u w:val="single" w:color="0000FF"/>
          </w:rPr>
          <w:t>SOS.VDA@delaware.gov</w:t>
        </w:r>
      </w:hyperlink>
      <w:r>
        <w:rPr>
          <w:sz w:val="24"/>
        </w:rPr>
        <w:t>.</w:t>
      </w:r>
    </w:p>
    <w:sectPr w:rsidR="00BC4FA3">
      <w:footerReference w:type="default" r:id="rId8"/>
      <w:pgSz w:w="12240" w:h="15840"/>
      <w:pgMar w:top="1280" w:right="60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DCD4" w14:textId="77777777" w:rsidR="009D2495" w:rsidRDefault="009D2495">
      <w:r>
        <w:separator/>
      </w:r>
    </w:p>
  </w:endnote>
  <w:endnote w:type="continuationSeparator" w:id="0">
    <w:p w14:paraId="3AD4E33C" w14:textId="77777777" w:rsidR="009D2495" w:rsidRDefault="009D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A879" w14:textId="77777777" w:rsidR="00410B9C" w:rsidRDefault="00410B9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55B5" w14:textId="77777777" w:rsidR="009D2495" w:rsidRDefault="009D2495">
      <w:r>
        <w:separator/>
      </w:r>
    </w:p>
  </w:footnote>
  <w:footnote w:type="continuationSeparator" w:id="0">
    <w:p w14:paraId="5999A04D" w14:textId="77777777" w:rsidR="009D2495" w:rsidRDefault="009D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60408"/>
    <w:multiLevelType w:val="hybridMultilevel"/>
    <w:tmpl w:val="D2325D02"/>
    <w:lvl w:ilvl="0" w:tplc="99306448">
      <w:start w:val="1"/>
      <w:numFmt w:val="lowerRoman"/>
      <w:lvlText w:val="(%1)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21C7C80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ar-SA"/>
      </w:rPr>
    </w:lvl>
    <w:lvl w:ilvl="2" w:tplc="D7821E00">
      <w:numFmt w:val="bullet"/>
      <w:lvlText w:val="•"/>
      <w:lvlJc w:val="left"/>
      <w:pPr>
        <w:ind w:left="3472" w:hanging="720"/>
      </w:pPr>
      <w:rPr>
        <w:rFonts w:hint="default"/>
        <w:lang w:val="en-US" w:eastAsia="en-US" w:bidi="ar-SA"/>
      </w:rPr>
    </w:lvl>
    <w:lvl w:ilvl="3" w:tplc="2C9E0A8E">
      <w:numFmt w:val="bullet"/>
      <w:lvlText w:val="•"/>
      <w:lvlJc w:val="left"/>
      <w:pPr>
        <w:ind w:left="4408" w:hanging="720"/>
      </w:pPr>
      <w:rPr>
        <w:rFonts w:hint="default"/>
        <w:lang w:val="en-US" w:eastAsia="en-US" w:bidi="ar-SA"/>
      </w:rPr>
    </w:lvl>
    <w:lvl w:ilvl="4" w:tplc="63FADCCC">
      <w:numFmt w:val="bullet"/>
      <w:lvlText w:val="•"/>
      <w:lvlJc w:val="left"/>
      <w:pPr>
        <w:ind w:left="5344" w:hanging="720"/>
      </w:pPr>
      <w:rPr>
        <w:rFonts w:hint="default"/>
        <w:lang w:val="en-US" w:eastAsia="en-US" w:bidi="ar-SA"/>
      </w:rPr>
    </w:lvl>
    <w:lvl w:ilvl="5" w:tplc="0D12DAA2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ar-SA"/>
      </w:rPr>
    </w:lvl>
    <w:lvl w:ilvl="6" w:tplc="17509816">
      <w:numFmt w:val="bullet"/>
      <w:lvlText w:val="•"/>
      <w:lvlJc w:val="left"/>
      <w:pPr>
        <w:ind w:left="7216" w:hanging="720"/>
      </w:pPr>
      <w:rPr>
        <w:rFonts w:hint="default"/>
        <w:lang w:val="en-US" w:eastAsia="en-US" w:bidi="ar-SA"/>
      </w:rPr>
    </w:lvl>
    <w:lvl w:ilvl="7" w:tplc="13D634FA">
      <w:numFmt w:val="bullet"/>
      <w:lvlText w:val="•"/>
      <w:lvlJc w:val="left"/>
      <w:pPr>
        <w:ind w:left="8152" w:hanging="720"/>
      </w:pPr>
      <w:rPr>
        <w:rFonts w:hint="default"/>
        <w:lang w:val="en-US" w:eastAsia="en-US" w:bidi="ar-SA"/>
      </w:rPr>
    </w:lvl>
    <w:lvl w:ilvl="8" w:tplc="E4AAD624">
      <w:numFmt w:val="bullet"/>
      <w:lvlText w:val="•"/>
      <w:lvlJc w:val="left"/>
      <w:pPr>
        <w:ind w:left="9088" w:hanging="720"/>
      </w:pPr>
      <w:rPr>
        <w:rFonts w:hint="default"/>
        <w:lang w:val="en-US" w:eastAsia="en-US" w:bidi="ar-SA"/>
      </w:rPr>
    </w:lvl>
  </w:abstractNum>
  <w:num w:numId="1" w16cid:durableId="16566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9C"/>
    <w:rsid w:val="000101FE"/>
    <w:rsid w:val="00010AEB"/>
    <w:rsid w:val="00057A9A"/>
    <w:rsid w:val="00065C3F"/>
    <w:rsid w:val="00097463"/>
    <w:rsid w:val="000A17D4"/>
    <w:rsid w:val="000A2333"/>
    <w:rsid w:val="000B76AE"/>
    <w:rsid w:val="000C2218"/>
    <w:rsid w:val="000D5604"/>
    <w:rsid w:val="000E094D"/>
    <w:rsid w:val="001147DD"/>
    <w:rsid w:val="00120971"/>
    <w:rsid w:val="001227A0"/>
    <w:rsid w:val="001302B3"/>
    <w:rsid w:val="00130AAE"/>
    <w:rsid w:val="001552F3"/>
    <w:rsid w:val="001743C5"/>
    <w:rsid w:val="001E2E64"/>
    <w:rsid w:val="001F0C30"/>
    <w:rsid w:val="00244A19"/>
    <w:rsid w:val="00245768"/>
    <w:rsid w:val="0029182F"/>
    <w:rsid w:val="00295556"/>
    <w:rsid w:val="002C370F"/>
    <w:rsid w:val="002E2FAD"/>
    <w:rsid w:val="002F1D0B"/>
    <w:rsid w:val="00392641"/>
    <w:rsid w:val="00393374"/>
    <w:rsid w:val="0039579C"/>
    <w:rsid w:val="003B4FFF"/>
    <w:rsid w:val="003E6595"/>
    <w:rsid w:val="003E7D6B"/>
    <w:rsid w:val="0040497E"/>
    <w:rsid w:val="00410B9C"/>
    <w:rsid w:val="00445A50"/>
    <w:rsid w:val="0049558C"/>
    <w:rsid w:val="004B2F3C"/>
    <w:rsid w:val="004E6323"/>
    <w:rsid w:val="00514777"/>
    <w:rsid w:val="00587FA4"/>
    <w:rsid w:val="005A6321"/>
    <w:rsid w:val="006169E9"/>
    <w:rsid w:val="00683210"/>
    <w:rsid w:val="00687D18"/>
    <w:rsid w:val="006A727E"/>
    <w:rsid w:val="006B5797"/>
    <w:rsid w:val="006C0FD2"/>
    <w:rsid w:val="0072405C"/>
    <w:rsid w:val="0074728A"/>
    <w:rsid w:val="0075140C"/>
    <w:rsid w:val="00753866"/>
    <w:rsid w:val="007771FC"/>
    <w:rsid w:val="007816C5"/>
    <w:rsid w:val="00787084"/>
    <w:rsid w:val="00826836"/>
    <w:rsid w:val="008361A7"/>
    <w:rsid w:val="0084507B"/>
    <w:rsid w:val="00870A37"/>
    <w:rsid w:val="00884AC3"/>
    <w:rsid w:val="00885286"/>
    <w:rsid w:val="00896D94"/>
    <w:rsid w:val="008A1C12"/>
    <w:rsid w:val="008A1C60"/>
    <w:rsid w:val="008A42A6"/>
    <w:rsid w:val="008D0440"/>
    <w:rsid w:val="008D0FDB"/>
    <w:rsid w:val="008E3D4C"/>
    <w:rsid w:val="008F56E5"/>
    <w:rsid w:val="009006F3"/>
    <w:rsid w:val="009B494F"/>
    <w:rsid w:val="009C0F07"/>
    <w:rsid w:val="009D2495"/>
    <w:rsid w:val="009E013A"/>
    <w:rsid w:val="009E65A8"/>
    <w:rsid w:val="009F685A"/>
    <w:rsid w:val="00A650AC"/>
    <w:rsid w:val="00AC35B3"/>
    <w:rsid w:val="00AE4BBC"/>
    <w:rsid w:val="00AF042E"/>
    <w:rsid w:val="00B02034"/>
    <w:rsid w:val="00B11FE8"/>
    <w:rsid w:val="00B12458"/>
    <w:rsid w:val="00B12489"/>
    <w:rsid w:val="00B12DE7"/>
    <w:rsid w:val="00B15400"/>
    <w:rsid w:val="00B733A0"/>
    <w:rsid w:val="00B91933"/>
    <w:rsid w:val="00BB631C"/>
    <w:rsid w:val="00BC4FA3"/>
    <w:rsid w:val="00BC5576"/>
    <w:rsid w:val="00BF5EC4"/>
    <w:rsid w:val="00C728E4"/>
    <w:rsid w:val="00CB413B"/>
    <w:rsid w:val="00CB6992"/>
    <w:rsid w:val="00D3624A"/>
    <w:rsid w:val="00D72A95"/>
    <w:rsid w:val="00D80E40"/>
    <w:rsid w:val="00DB144D"/>
    <w:rsid w:val="00DB3357"/>
    <w:rsid w:val="00DC2E27"/>
    <w:rsid w:val="00DD0864"/>
    <w:rsid w:val="00DE4483"/>
    <w:rsid w:val="00DE50D6"/>
    <w:rsid w:val="00DE5E8C"/>
    <w:rsid w:val="00DF3F6D"/>
    <w:rsid w:val="00E02CE0"/>
    <w:rsid w:val="00E02DB1"/>
    <w:rsid w:val="00E17ABA"/>
    <w:rsid w:val="00E41D73"/>
    <w:rsid w:val="00E46B4D"/>
    <w:rsid w:val="00E50FF6"/>
    <w:rsid w:val="00E70662"/>
    <w:rsid w:val="00E76788"/>
    <w:rsid w:val="00EA1077"/>
    <w:rsid w:val="00EE3B94"/>
    <w:rsid w:val="00EF2EA2"/>
    <w:rsid w:val="00F01F7B"/>
    <w:rsid w:val="00F22536"/>
    <w:rsid w:val="00F34D3D"/>
    <w:rsid w:val="00FC7F62"/>
    <w:rsid w:val="00FD025D"/>
    <w:rsid w:val="00FE03E1"/>
    <w:rsid w:val="00FF145D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A7D6"/>
  <w15:docId w15:val="{C7B7049F-620A-4842-B7B2-8407A46A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599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2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DE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2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DE7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B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7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7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7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0FF6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S.VDA@delawa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2685</Characters>
  <Application>Microsoft Office Word</Application>
  <DocSecurity>0</DocSecurity>
  <Lines>22</Lines>
  <Paragraphs>6</Paragraphs>
  <ScaleCrop>false</ScaleCrop>
  <Company>   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Carroll, Steven L (DOS)</dc:creator>
  <cp:lastModifiedBy>Phillips, Benjamin (DOS)</cp:lastModifiedBy>
  <cp:revision>3</cp:revision>
  <dcterms:created xsi:type="dcterms:W3CDTF">2024-01-18T16:20:00Z</dcterms:created>
  <dcterms:modified xsi:type="dcterms:W3CDTF">2024-03-25T15:34:00Z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2023-10-25T00:00:00Z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D:20180925200549</vt:lpwstr>
  </property>
</Properties>
</file>