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A7D6" w14:textId="1CFB9D43" w:rsidR="00410B9C" w:rsidRDefault="00234F7F">
      <w:pPr>
        <w:spacing w:before="68"/>
        <w:ind w:left="220"/>
        <w:jc w:val="both"/>
        <w:rPr>
          <w:sz w:val="24"/>
        </w:rPr>
      </w:pP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VDA-</w:t>
      </w:r>
      <w:r>
        <w:rPr>
          <w:spacing w:val="-10"/>
          <w:sz w:val="24"/>
        </w:rPr>
        <w:t>1</w:t>
      </w:r>
      <w:r w:rsidR="0029182F">
        <w:rPr>
          <w:spacing w:val="-10"/>
          <w:sz w:val="24"/>
        </w:rPr>
        <w:t>M</w:t>
      </w:r>
      <w:r w:rsidR="00B12458">
        <w:rPr>
          <w:spacing w:val="-10"/>
          <w:sz w:val="24"/>
        </w:rPr>
        <w:t>&amp;A</w:t>
      </w:r>
    </w:p>
    <w:p w14:paraId="2BE4A7D7" w14:textId="77777777" w:rsidR="00410B9C" w:rsidRDefault="00410B9C">
      <w:pPr>
        <w:pStyle w:val="BodyText"/>
        <w:spacing w:before="8"/>
        <w:rPr>
          <w:sz w:val="21"/>
        </w:rPr>
      </w:pPr>
    </w:p>
    <w:p w14:paraId="2BE4A7D8" w14:textId="47D67248" w:rsidR="00410B9C" w:rsidRDefault="000826E4">
      <w:pPr>
        <w:spacing w:line="247" w:lineRule="auto"/>
        <w:ind w:left="1796" w:right="2054" w:firstLine="1"/>
        <w:jc w:val="center"/>
        <w:rPr>
          <w:b/>
          <w:sz w:val="23"/>
        </w:rPr>
      </w:pPr>
      <w:r>
        <w:rPr>
          <w:b/>
          <w:sz w:val="23"/>
        </w:rPr>
        <w:t xml:space="preserve">NOTICE </w:t>
      </w:r>
      <w:r w:rsidR="006C0FD2">
        <w:rPr>
          <w:b/>
          <w:sz w:val="23"/>
        </w:rPr>
        <w:t>OF</w:t>
      </w:r>
      <w:r w:rsidR="00B15400">
        <w:rPr>
          <w:b/>
          <w:sz w:val="23"/>
        </w:rPr>
        <w:t xml:space="preserve"> MERGER OR ACQUISITION AND </w:t>
      </w:r>
      <w:r w:rsidR="00234F7F">
        <w:rPr>
          <w:b/>
          <w:sz w:val="23"/>
        </w:rPr>
        <w:t>DISCLOSURE AND NOTICE OF INTENT TO VOLUNTARILY COMPLY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WITH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ABANDONED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OR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UNCLAIMED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PROPERTY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LAW</w:t>
      </w:r>
    </w:p>
    <w:p w14:paraId="2BE4A7D9" w14:textId="359698D7" w:rsidR="00410B9C" w:rsidRDefault="00234F7F" w:rsidP="00E3081D">
      <w:pPr>
        <w:tabs>
          <w:tab w:val="left" w:pos="7470"/>
        </w:tabs>
        <w:spacing w:before="3"/>
        <w:ind w:left="2880" w:right="2950"/>
        <w:jc w:val="center"/>
        <w:rPr>
          <w:b/>
          <w:sz w:val="23"/>
        </w:rPr>
      </w:pPr>
      <w:r>
        <w:rPr>
          <w:b/>
          <w:sz w:val="23"/>
        </w:rPr>
        <w:t>PURSUANT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TO 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  <w:u w:val="thick"/>
        </w:rPr>
        <w:t>Del.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C.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§</w:t>
      </w:r>
      <w:r w:rsidR="0032123A">
        <w:rPr>
          <w:b/>
          <w:sz w:val="23"/>
        </w:rPr>
        <w:t>§ 1147</w:t>
      </w:r>
      <w:r w:rsidR="00E3081D">
        <w:rPr>
          <w:b/>
          <w:sz w:val="23"/>
        </w:rPr>
        <w:t xml:space="preserve"> AND</w:t>
      </w:r>
      <w:r>
        <w:rPr>
          <w:b/>
          <w:sz w:val="23"/>
        </w:rPr>
        <w:t xml:space="preserve"> </w:t>
      </w:r>
      <w:r>
        <w:rPr>
          <w:b/>
          <w:spacing w:val="-4"/>
          <w:sz w:val="23"/>
        </w:rPr>
        <w:t>1173</w:t>
      </w:r>
    </w:p>
    <w:p w14:paraId="2BE4A7DB" w14:textId="37BFEA54" w:rsidR="00410B9C" w:rsidRDefault="00234F7F" w:rsidP="00DE5E8C">
      <w:pPr>
        <w:pStyle w:val="BodyText"/>
        <w:tabs>
          <w:tab w:val="left" w:pos="8091"/>
        </w:tabs>
        <w:spacing w:before="189"/>
        <w:ind w:left="220" w:right="260"/>
        <w:jc w:val="both"/>
      </w:pPr>
      <w:r>
        <w:t>This Voluntary Disclosure Agreement (“Agreement”) is entered into between the State of Delaware, by and through the Delaware Secretary of State (“</w:t>
      </w:r>
      <w:r w:rsidR="00787084">
        <w:t>State</w:t>
      </w:r>
      <w:r>
        <w:t xml:space="preserve">”), acting by its undersigned duly authorized representative, and </w:t>
      </w:r>
      <w:r w:rsidR="006B5797" w:rsidRPr="0058511A">
        <w:rPr>
          <w:highlight w:val="yellow"/>
        </w:rPr>
        <w:t>[PURCHASING ENTITY</w:t>
      </w:r>
      <w:r w:rsidR="006A727E">
        <w:t>]</w:t>
      </w:r>
      <w:r>
        <w:t xml:space="preserve"> (“</w:t>
      </w:r>
      <w:r w:rsidR="00392641">
        <w:t>Purchaser</w:t>
      </w:r>
      <w:r>
        <w:t>”),</w:t>
      </w:r>
      <w:r>
        <w:rPr>
          <w:spacing w:val="-3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rPr>
          <w:spacing w:val="-2"/>
        </w:rPr>
        <w:t>officer.</w:t>
      </w:r>
    </w:p>
    <w:p w14:paraId="2BE4A7DC" w14:textId="77777777" w:rsidR="00410B9C" w:rsidRDefault="00410B9C">
      <w:pPr>
        <w:pStyle w:val="BodyText"/>
        <w:spacing w:before="10"/>
        <w:rPr>
          <w:sz w:val="20"/>
        </w:rPr>
      </w:pPr>
    </w:p>
    <w:p w14:paraId="6F73240A" w14:textId="616C1AB7" w:rsidR="008A1C12" w:rsidRDefault="00234F7F">
      <w:pPr>
        <w:pStyle w:val="BodyText"/>
        <w:ind w:left="219" w:right="253"/>
        <w:jc w:val="both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</w:t>
      </w:r>
      <w:r w:rsidR="00392641">
        <w:t>Purchaser</w:t>
      </w:r>
      <w:r w:rsidR="00097463">
        <w:t xml:space="preserve"> intends to purchase</w:t>
      </w:r>
      <w:r w:rsidR="009E65A8">
        <w:t xml:space="preserve"> [</w:t>
      </w:r>
      <w:r w:rsidR="009E65A8" w:rsidRPr="0058511A">
        <w:rPr>
          <w:highlight w:val="yellow"/>
        </w:rPr>
        <w:t>TARGET</w:t>
      </w:r>
      <w:r w:rsidR="009E65A8">
        <w:t>]</w:t>
      </w:r>
      <w:r w:rsidR="00753866">
        <w:t xml:space="preserve"> (“Target”)</w:t>
      </w:r>
      <w:r w:rsidR="004B2F3C">
        <w:t>, an entity formed under the laws of [</w:t>
      </w:r>
      <w:r w:rsidR="004B2F3C" w:rsidRPr="0024157F">
        <w:rPr>
          <w:highlight w:val="yellow"/>
        </w:rPr>
        <w:t>STATE</w:t>
      </w:r>
      <w:r w:rsidR="004B2F3C">
        <w:t>],</w:t>
      </w:r>
      <w:r w:rsidR="008A42A6">
        <w:t xml:space="preserve"> from</w:t>
      </w:r>
      <w:r w:rsidR="00753866">
        <w:t xml:space="preserve"> [</w:t>
      </w:r>
      <w:r w:rsidR="00753866" w:rsidRPr="0058511A">
        <w:rPr>
          <w:highlight w:val="yellow"/>
        </w:rPr>
        <w:t>SELLING ENTITY</w:t>
      </w:r>
      <w:r w:rsidR="00E02DB1">
        <w:t>] (“Seller”)</w:t>
      </w:r>
      <w:r w:rsidR="00587FA4">
        <w:t xml:space="preserve"> after entering this Agreement, subject to feasibility, financing, acquisition, necessary approvals, and/or the satisfaction of certain other conditions precedent to</w:t>
      </w:r>
      <w:r w:rsidR="008A1C60">
        <w:t xml:space="preserve"> </w:t>
      </w:r>
      <w:r w:rsidR="00392641">
        <w:t>Purchaser</w:t>
      </w:r>
      <w:r w:rsidR="008A1C60">
        <w:t>’s acquisition of</w:t>
      </w:r>
      <w:r w:rsidR="00392641">
        <w:t xml:space="preserve"> Target</w:t>
      </w:r>
      <w:r w:rsidR="008A1C60">
        <w:t xml:space="preserve">.  </w:t>
      </w:r>
      <w:r w:rsidR="00D2261F">
        <w:t>The expected signing date for Purchaser’s acquisition of Target is [</w:t>
      </w:r>
      <w:r w:rsidR="00D2261F" w:rsidRPr="0058511A">
        <w:rPr>
          <w:highlight w:val="yellow"/>
        </w:rPr>
        <w:t>DATE 1</w:t>
      </w:r>
      <w:r w:rsidR="00D2261F">
        <w:t>] (“Signing Date”) and the expected closing date for the acquisition is [</w:t>
      </w:r>
      <w:r w:rsidR="00D2261F" w:rsidRPr="0058511A">
        <w:rPr>
          <w:highlight w:val="yellow"/>
        </w:rPr>
        <w:t>DATE 2</w:t>
      </w:r>
      <w:r w:rsidR="00D2261F">
        <w:t xml:space="preserve">] (“Closing Date”).  </w:t>
      </w:r>
      <w:r w:rsidR="008A1C60">
        <w:t xml:space="preserve">This Agreement will automatically terminate if </w:t>
      </w:r>
      <w:r w:rsidR="00392641">
        <w:t>Purchaser</w:t>
      </w:r>
      <w:r w:rsidR="000C2218">
        <w:t xml:space="preserve"> </w:t>
      </w:r>
      <w:r w:rsidR="00FF145D">
        <w:t xml:space="preserve">fails to acquire </w:t>
      </w:r>
      <w:r w:rsidR="00392641">
        <w:t>Target</w:t>
      </w:r>
      <w:r w:rsidR="00FF145D">
        <w:t xml:space="preserve">, which shall be evidenced by </w:t>
      </w:r>
      <w:r w:rsidR="00392641">
        <w:t>Purchaser</w:t>
      </w:r>
      <w:r w:rsidR="00FF145D">
        <w:t>’s</w:t>
      </w:r>
      <w:r w:rsidR="00EE3B94">
        <w:t xml:space="preserve"> delivery of written notice thereof to </w:t>
      </w:r>
      <w:proofErr w:type="gramStart"/>
      <w:r w:rsidR="00392641">
        <w:t>State;</w:t>
      </w:r>
      <w:proofErr w:type="gramEnd"/>
    </w:p>
    <w:p w14:paraId="7288EA0B" w14:textId="77777777" w:rsidR="008A1C12" w:rsidRDefault="008A1C12">
      <w:pPr>
        <w:pStyle w:val="BodyText"/>
        <w:ind w:left="219" w:right="253"/>
        <w:jc w:val="both"/>
      </w:pPr>
    </w:p>
    <w:p w14:paraId="2BE4A7DD" w14:textId="29CA20F0" w:rsidR="00410B9C" w:rsidRDefault="008A1C12">
      <w:pPr>
        <w:pStyle w:val="BodyText"/>
        <w:ind w:left="219" w:right="253"/>
        <w:jc w:val="both"/>
      </w:pPr>
      <w:r w:rsidRPr="008A1C12">
        <w:rPr>
          <w:b/>
          <w:bCs/>
        </w:rPr>
        <w:t>WHEREAS</w:t>
      </w:r>
      <w:r>
        <w:t>,</w:t>
      </w:r>
      <w:r w:rsidR="00234F7F">
        <w:t xml:space="preserve"> </w:t>
      </w:r>
      <w:r w:rsidR="004B2F3C">
        <w:t>Purchaser</w:t>
      </w:r>
      <w:r w:rsidR="000826E4">
        <w:t>, as the intended successor or acquiring entity of Target,</w:t>
      </w:r>
      <w:r w:rsidR="000C2218">
        <w:t xml:space="preserve"> </w:t>
      </w:r>
      <w:r w:rsidR="00234F7F">
        <w:t xml:space="preserve">is now coming forward in good faith to </w:t>
      </w:r>
      <w:r w:rsidR="00896D94">
        <w:t xml:space="preserve">insulate itself from inheriting </w:t>
      </w:r>
      <w:proofErr w:type="gramStart"/>
      <w:r w:rsidR="00896D94">
        <w:t>any and all</w:t>
      </w:r>
      <w:proofErr w:type="gramEnd"/>
      <w:r w:rsidR="00896D94">
        <w:t xml:space="preserve"> of </w:t>
      </w:r>
      <w:r w:rsidR="004B2F3C">
        <w:t>Target</w:t>
      </w:r>
      <w:r w:rsidR="009006F3">
        <w:t>’s historic unclaimed property liabilities that may be due to the State of Delaware</w:t>
      </w:r>
      <w:r w:rsidR="00DE4483">
        <w:t xml:space="preserve"> pursuant to 12 </w:t>
      </w:r>
      <w:r w:rsidR="00DE4483" w:rsidRPr="000D5604">
        <w:rPr>
          <w:u w:val="single"/>
        </w:rPr>
        <w:t>Del. C.</w:t>
      </w:r>
      <w:r w:rsidR="00DE4483">
        <w:t xml:space="preserve"> §1147</w:t>
      </w:r>
      <w:r w:rsidR="009006F3">
        <w:t xml:space="preserve"> and </w:t>
      </w:r>
      <w:r w:rsidR="00234F7F">
        <w:t xml:space="preserve">comply with the Abandoned or </w:t>
      </w:r>
      <w:r w:rsidR="00234F7F">
        <w:rPr>
          <w:spacing w:val="12"/>
        </w:rPr>
        <w:t xml:space="preserve">Unclaimed </w:t>
      </w:r>
      <w:r w:rsidR="00234F7F">
        <w:t>Property Law, and</w:t>
      </w:r>
    </w:p>
    <w:p w14:paraId="2BE4A7DE" w14:textId="77777777" w:rsidR="00410B9C" w:rsidRDefault="00410B9C">
      <w:pPr>
        <w:pStyle w:val="BodyText"/>
        <w:rPr>
          <w:sz w:val="21"/>
        </w:rPr>
      </w:pPr>
    </w:p>
    <w:p w14:paraId="2BE4A7DF" w14:textId="4134B6A9" w:rsidR="00410B9C" w:rsidRDefault="00234F7F">
      <w:pPr>
        <w:pStyle w:val="BodyText"/>
        <w:ind w:left="219" w:right="268"/>
        <w:jc w:val="both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</w:t>
      </w:r>
      <w:r w:rsidR="004B2F3C">
        <w:t>the State</w:t>
      </w:r>
      <w:r>
        <w:t xml:space="preserve"> desires to induce the </w:t>
      </w:r>
      <w:r w:rsidR="004B2F3C">
        <w:t>Purchaser</w:t>
      </w:r>
      <w:r>
        <w:t xml:space="preserve">’s compliance with the Abandoned or Unclaimed Property </w:t>
      </w:r>
      <w:r>
        <w:rPr>
          <w:spacing w:val="-4"/>
        </w:rPr>
        <w:t>Law</w:t>
      </w:r>
      <w:r w:rsidR="004B2F3C">
        <w:rPr>
          <w:spacing w:val="-4"/>
        </w:rPr>
        <w:t xml:space="preserve"> </w:t>
      </w:r>
      <w:r w:rsidR="00DF3F6D">
        <w:rPr>
          <w:spacing w:val="-4"/>
        </w:rPr>
        <w:t xml:space="preserve">with respect to its </w:t>
      </w:r>
      <w:r w:rsidR="00393374">
        <w:rPr>
          <w:spacing w:val="-4"/>
        </w:rPr>
        <w:t>p</w:t>
      </w:r>
      <w:r w:rsidR="005A6321">
        <w:rPr>
          <w:spacing w:val="-4"/>
        </w:rPr>
        <w:t xml:space="preserve">otential purchase of </w:t>
      </w:r>
      <w:r w:rsidR="004B2F3C">
        <w:rPr>
          <w:spacing w:val="-4"/>
        </w:rPr>
        <w:t xml:space="preserve">Target </w:t>
      </w:r>
      <w:r w:rsidR="005A6321">
        <w:rPr>
          <w:spacing w:val="-4"/>
        </w:rPr>
        <w:t xml:space="preserve">and the related </w:t>
      </w:r>
      <w:r w:rsidR="001F0C30">
        <w:rPr>
          <w:spacing w:val="-4"/>
        </w:rPr>
        <w:t>successor liabilities pursuant to 1</w:t>
      </w:r>
      <w:r w:rsidR="005A6321">
        <w:t xml:space="preserve">2 </w:t>
      </w:r>
      <w:r w:rsidR="005A6321" w:rsidRPr="000D5604">
        <w:rPr>
          <w:u w:val="single"/>
        </w:rPr>
        <w:t>Del. C.</w:t>
      </w:r>
      <w:r w:rsidR="005A6321">
        <w:t xml:space="preserve"> §1147</w:t>
      </w:r>
      <w:r w:rsidR="001F0C30">
        <w:t>.</w:t>
      </w:r>
    </w:p>
    <w:p w14:paraId="2BE4A7E0" w14:textId="77777777" w:rsidR="00410B9C" w:rsidRDefault="00410B9C">
      <w:pPr>
        <w:pStyle w:val="BodyText"/>
        <w:spacing w:before="9"/>
        <w:rPr>
          <w:sz w:val="20"/>
        </w:rPr>
      </w:pPr>
    </w:p>
    <w:p w14:paraId="2BE4A7E1" w14:textId="77777777" w:rsidR="00410B9C" w:rsidRDefault="00234F7F">
      <w:pPr>
        <w:pStyle w:val="BodyText"/>
        <w:ind w:left="219"/>
        <w:jc w:val="both"/>
      </w:pPr>
      <w:r>
        <w:rPr>
          <w:b/>
        </w:rPr>
        <w:t>NOW</w:t>
      </w:r>
      <w:r>
        <w:rPr>
          <w:b/>
          <w:spacing w:val="-12"/>
        </w:rPr>
        <w:t xml:space="preserve"> </w:t>
      </w:r>
      <w:r>
        <w:rPr>
          <w:b/>
        </w:rPr>
        <w:t>THEREFORE</w:t>
      </w:r>
      <w:r>
        <w:t>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consideration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mutual</w:t>
      </w:r>
      <w:r>
        <w:rPr>
          <w:spacing w:val="-11"/>
        </w:rPr>
        <w:t xml:space="preserve"> </w:t>
      </w:r>
      <w:r>
        <w:t>promises</w:t>
      </w:r>
      <w:r>
        <w:rPr>
          <w:spacing w:val="-12"/>
        </w:rPr>
        <w:t xml:space="preserve"> </w:t>
      </w:r>
      <w:r>
        <w:t>hereinafter</w:t>
      </w:r>
      <w:r>
        <w:rPr>
          <w:spacing w:val="-11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forth,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follows:</w:t>
      </w:r>
    </w:p>
    <w:p w14:paraId="2BE4A7E5" w14:textId="77777777" w:rsidR="00410B9C" w:rsidRDefault="00410B9C">
      <w:pPr>
        <w:pStyle w:val="BodyText"/>
        <w:spacing w:before="9"/>
        <w:rPr>
          <w:sz w:val="20"/>
        </w:rPr>
      </w:pPr>
    </w:p>
    <w:p w14:paraId="5680B70E" w14:textId="26D0AAF9" w:rsidR="00EA1077" w:rsidRDefault="004B2F3C">
      <w:pPr>
        <w:pStyle w:val="BodyText"/>
        <w:ind w:left="219" w:right="119"/>
        <w:rPr>
          <w:spacing w:val="21"/>
        </w:rPr>
      </w:pPr>
      <w:r>
        <w:t>Purchaser</w:t>
      </w:r>
      <w:r w:rsidR="00234F7F" w:rsidRPr="00EA1077">
        <w:t xml:space="preserve"> </w:t>
      </w:r>
      <w:r w:rsidR="00234F7F">
        <w:t>shall</w:t>
      </w:r>
      <w:r w:rsidR="00234F7F" w:rsidRPr="00EA1077">
        <w:t xml:space="preserve"> </w:t>
      </w:r>
      <w:r w:rsidR="007816C5" w:rsidRPr="00EA1077">
        <w:t>work with</w:t>
      </w:r>
      <w:r w:rsidR="00EF2EA2" w:rsidRPr="00EA1077">
        <w:t xml:space="preserve"> </w:t>
      </w:r>
      <w:r w:rsidR="00E02DB1">
        <w:t>Target and Seller</w:t>
      </w:r>
      <w:r w:rsidR="00D2261F">
        <w:t xml:space="preserve"> in good faith</w:t>
      </w:r>
      <w:r w:rsidR="00E02DB1">
        <w:t xml:space="preserve"> </w:t>
      </w:r>
      <w:r w:rsidR="008F56E5" w:rsidRPr="00EA1077">
        <w:t xml:space="preserve">to provide </w:t>
      </w:r>
      <w:r w:rsidR="000101FE" w:rsidRPr="00EA1077">
        <w:t xml:space="preserve">the data requests listed in the VDA-1M&amp;A-Instructions and obtain approval from </w:t>
      </w:r>
      <w:r>
        <w:t xml:space="preserve">Target and </w:t>
      </w:r>
      <w:r w:rsidR="00E02DB1">
        <w:t>S</w:t>
      </w:r>
      <w:r w:rsidR="00EA1077" w:rsidRPr="00EA1077">
        <w:t xml:space="preserve">eller to provide same to </w:t>
      </w:r>
      <w:r>
        <w:t>State</w:t>
      </w:r>
      <w:r w:rsidR="00EA1077" w:rsidRPr="00EA1077">
        <w:t xml:space="preserve">. </w:t>
      </w:r>
      <w:r w:rsidR="00EA1077">
        <w:rPr>
          <w:spacing w:val="21"/>
        </w:rPr>
        <w:t xml:space="preserve"> </w:t>
      </w:r>
    </w:p>
    <w:p w14:paraId="69039970" w14:textId="77777777" w:rsidR="0075140C" w:rsidRDefault="0075140C">
      <w:pPr>
        <w:pStyle w:val="BodyText"/>
        <w:ind w:left="219" w:right="119"/>
        <w:rPr>
          <w:spacing w:val="21"/>
        </w:rPr>
      </w:pPr>
    </w:p>
    <w:p w14:paraId="230B8A6B" w14:textId="4A9578B3" w:rsidR="0075140C" w:rsidRDefault="0075140C">
      <w:pPr>
        <w:pStyle w:val="BodyText"/>
        <w:ind w:left="219" w:right="119"/>
      </w:pPr>
      <w:r w:rsidRPr="003E6595">
        <w:t>S</w:t>
      </w:r>
      <w:r w:rsidR="004B2F3C">
        <w:t>tate</w:t>
      </w:r>
      <w:r w:rsidRPr="003E6595">
        <w:t xml:space="preserve"> agrees to review </w:t>
      </w:r>
      <w:r w:rsidR="004B2F3C">
        <w:t>Target’s</w:t>
      </w:r>
      <w:r w:rsidRPr="003E6595">
        <w:t xml:space="preserve"> information and documentation provided by</w:t>
      </w:r>
      <w:r w:rsidR="00B11FE8" w:rsidRPr="003E6595">
        <w:t xml:space="preserve"> </w:t>
      </w:r>
      <w:r w:rsidR="004B2F3C">
        <w:t>Purchaser</w:t>
      </w:r>
      <w:r w:rsidR="00B11FE8" w:rsidRPr="003E6595">
        <w:t xml:space="preserve"> </w:t>
      </w:r>
      <w:r w:rsidR="004B2F3C">
        <w:t>and</w:t>
      </w:r>
      <w:r w:rsidR="00870A37">
        <w:t xml:space="preserve"> will </w:t>
      </w:r>
      <w:r w:rsidR="001227A0">
        <w:t>issue a</w:t>
      </w:r>
      <w:r w:rsidR="004A529A">
        <w:t>n Establishment of</w:t>
      </w:r>
      <w:r w:rsidR="001227A0">
        <w:t xml:space="preserve"> Escrow </w:t>
      </w:r>
      <w:r w:rsidR="00F178C4">
        <w:t xml:space="preserve">Amount </w:t>
      </w:r>
      <w:r w:rsidR="004A529A">
        <w:t>Notice</w:t>
      </w:r>
      <w:r w:rsidR="001227A0">
        <w:t xml:space="preserve"> </w:t>
      </w:r>
      <w:r w:rsidR="00567080">
        <w:t xml:space="preserve">as </w:t>
      </w:r>
      <w:r w:rsidR="008754C1">
        <w:t xml:space="preserve">soon as </w:t>
      </w:r>
      <w:proofErr w:type="gramStart"/>
      <w:r w:rsidR="008754C1">
        <w:t>practicable</w:t>
      </w:r>
      <w:r w:rsidR="00567080">
        <w:t xml:space="preserve">, </w:t>
      </w:r>
      <w:r w:rsidR="008754C1">
        <w:t>and</w:t>
      </w:r>
      <w:proofErr w:type="gramEnd"/>
      <w:r w:rsidR="008754C1">
        <w:t xml:space="preserve"> </w:t>
      </w:r>
      <w:r w:rsidR="00567080">
        <w:t>provided this</w:t>
      </w:r>
      <w:r w:rsidR="001227A0">
        <w:t xml:space="preserve"> Form VDA-1M&amp;A</w:t>
      </w:r>
      <w:r w:rsidR="00567080">
        <w:t xml:space="preserve"> and substantial information and documentation </w:t>
      </w:r>
      <w:r w:rsidR="008754C1">
        <w:t xml:space="preserve">pursuant to the VDA-1M&amp;A- Instructions </w:t>
      </w:r>
      <w:r w:rsidR="00567080">
        <w:t>is submitted at least thirty days before Closing Date, an Establishment of Escrow Amount Notice will be issued at least ten days before Closing Date</w:t>
      </w:r>
      <w:r w:rsidR="001227A0">
        <w:t>.</w:t>
      </w:r>
    </w:p>
    <w:p w14:paraId="468A0D12" w14:textId="77777777" w:rsidR="00244A19" w:rsidRDefault="00244A19">
      <w:pPr>
        <w:pStyle w:val="BodyText"/>
        <w:ind w:left="219" w:right="119"/>
      </w:pPr>
    </w:p>
    <w:p w14:paraId="6079B95E" w14:textId="555ABD92" w:rsidR="00567080" w:rsidRDefault="00C728E4">
      <w:pPr>
        <w:pStyle w:val="BodyText"/>
        <w:ind w:left="219" w:right="119"/>
      </w:pPr>
      <w:r>
        <w:t>State</w:t>
      </w:r>
      <w:r w:rsidR="00244A19">
        <w:t xml:space="preserve"> agrees to limit any successor liability</w:t>
      </w:r>
      <w:r>
        <w:t xml:space="preserve"> of Purchaser</w:t>
      </w:r>
      <w:r w:rsidR="00244A19">
        <w:t xml:space="preserve"> related t</w:t>
      </w:r>
      <w:r w:rsidR="000E094D">
        <w:t xml:space="preserve">o its acquisition of Target pursuant to </w:t>
      </w:r>
      <w:r w:rsidR="000E094D">
        <w:rPr>
          <w:spacing w:val="-4"/>
        </w:rPr>
        <w:t>1</w:t>
      </w:r>
      <w:bookmarkStart w:id="0" w:name="_Hlk149305050"/>
      <w:r w:rsidR="000E094D">
        <w:t xml:space="preserve">2 </w:t>
      </w:r>
      <w:r w:rsidR="000E094D" w:rsidRPr="000D5604">
        <w:rPr>
          <w:u w:val="single"/>
        </w:rPr>
        <w:t>Del. C.</w:t>
      </w:r>
      <w:r w:rsidR="000E094D">
        <w:t xml:space="preserve"> §114</w:t>
      </w:r>
      <w:bookmarkEnd w:id="0"/>
      <w:r w:rsidR="000E094D">
        <w:t>7</w:t>
      </w:r>
      <w:r w:rsidR="0049558C">
        <w:t xml:space="preserve"> to the amount noted in the </w:t>
      </w:r>
      <w:r w:rsidR="00B300EE">
        <w:t xml:space="preserve">Establishment of Escrow </w:t>
      </w:r>
      <w:r w:rsidR="00F178C4">
        <w:t xml:space="preserve">Amount </w:t>
      </w:r>
      <w:r w:rsidR="00B300EE">
        <w:t>Notice</w:t>
      </w:r>
      <w:r w:rsidR="0049558C">
        <w:t>.</w:t>
      </w:r>
      <w:r w:rsidR="00130AAE">
        <w:t xml:space="preserve">  </w:t>
      </w:r>
      <w:r w:rsidR="00CB6992">
        <w:t xml:space="preserve">To </w:t>
      </w:r>
      <w:proofErr w:type="gramStart"/>
      <w:r w:rsidR="00CB6992">
        <w:t>enter into</w:t>
      </w:r>
      <w:proofErr w:type="gramEnd"/>
      <w:r w:rsidR="00CB6992">
        <w:t xml:space="preserve"> a Voluntary Disclosure </w:t>
      </w:r>
      <w:r w:rsidR="00C03598">
        <w:t xml:space="preserve">Closing </w:t>
      </w:r>
      <w:r w:rsidR="00CB6992">
        <w:t>Agreement,</w:t>
      </w:r>
      <w:r w:rsidR="000826E4">
        <w:t xml:space="preserve"> Form VDA-2M&amp;A,</w:t>
      </w:r>
      <w:r w:rsidR="00CB6992">
        <w:t xml:space="preserve"> P</w:t>
      </w:r>
      <w:r w:rsidR="00E02CE0">
        <w:t xml:space="preserve">urchaser may choose to </w:t>
      </w:r>
      <w:r w:rsidR="00687D18">
        <w:t xml:space="preserve">pay the abandoned or unclaimed property liability listed in </w:t>
      </w:r>
      <w:r w:rsidR="00F178C4">
        <w:t>the Establishment of Escrow Amount Notice</w:t>
      </w:r>
      <w:r w:rsidR="00687D18">
        <w:t xml:space="preserve"> or complete a self-review of Target’s books and records following</w:t>
      </w:r>
      <w:r w:rsidR="00E41D73">
        <w:t xml:space="preserve"> its </w:t>
      </w:r>
      <w:r w:rsidR="005C4C99">
        <w:t xml:space="preserve">merger or </w:t>
      </w:r>
      <w:r w:rsidR="00E41D73">
        <w:t xml:space="preserve">acquisition.  Should Purchaser choose this </w:t>
      </w:r>
      <w:r w:rsidR="00CB6992">
        <w:t>self-</w:t>
      </w:r>
      <w:r w:rsidR="00E41D73">
        <w:t>review,</w:t>
      </w:r>
      <w:r w:rsidR="00016885">
        <w:t xml:space="preserve"> it</w:t>
      </w:r>
      <w:r w:rsidR="00234F7F">
        <w:t xml:space="preserve"> shall be completed in a manner which is consistent with</w:t>
      </w:r>
      <w:r w:rsidR="00234F7F">
        <w:rPr>
          <w:spacing w:val="40"/>
        </w:rPr>
        <w:t xml:space="preserve"> </w:t>
      </w:r>
      <w:r w:rsidR="00234F7F">
        <w:t>the</w:t>
      </w:r>
      <w:r w:rsidR="00234F7F">
        <w:rPr>
          <w:spacing w:val="40"/>
        </w:rPr>
        <w:t xml:space="preserve"> </w:t>
      </w:r>
      <w:r w:rsidR="00234F7F">
        <w:t>“Department</w:t>
      </w:r>
      <w:r w:rsidR="00234F7F">
        <w:rPr>
          <w:spacing w:val="40"/>
        </w:rPr>
        <w:t xml:space="preserve"> </w:t>
      </w:r>
      <w:r w:rsidR="00234F7F">
        <w:t>of</w:t>
      </w:r>
      <w:r w:rsidR="00234F7F">
        <w:rPr>
          <w:spacing w:val="40"/>
        </w:rPr>
        <w:t xml:space="preserve"> </w:t>
      </w:r>
      <w:r w:rsidR="00234F7F">
        <w:t>State</w:t>
      </w:r>
      <w:r w:rsidR="00234F7F">
        <w:rPr>
          <w:spacing w:val="40"/>
        </w:rPr>
        <w:t xml:space="preserve"> </w:t>
      </w:r>
      <w:r w:rsidR="00234F7F">
        <w:t>Abandoned</w:t>
      </w:r>
      <w:r w:rsidR="00234F7F">
        <w:rPr>
          <w:spacing w:val="40"/>
        </w:rPr>
        <w:t xml:space="preserve"> </w:t>
      </w:r>
      <w:r w:rsidR="00234F7F">
        <w:t>or</w:t>
      </w:r>
      <w:r w:rsidR="00234F7F">
        <w:rPr>
          <w:spacing w:val="40"/>
        </w:rPr>
        <w:t xml:space="preserve"> </w:t>
      </w:r>
      <w:r w:rsidR="00234F7F">
        <w:t>Unclaimed</w:t>
      </w:r>
      <w:r w:rsidR="00234F7F">
        <w:rPr>
          <w:spacing w:val="40"/>
        </w:rPr>
        <w:t xml:space="preserve"> </w:t>
      </w:r>
      <w:r w:rsidR="00234F7F">
        <w:t>Property</w:t>
      </w:r>
      <w:r w:rsidR="00234F7F">
        <w:rPr>
          <w:spacing w:val="33"/>
        </w:rPr>
        <w:t xml:space="preserve"> </w:t>
      </w:r>
      <w:r w:rsidR="00234F7F">
        <w:t>Voluntary</w:t>
      </w:r>
      <w:r w:rsidR="00234F7F">
        <w:rPr>
          <w:spacing w:val="40"/>
        </w:rPr>
        <w:t xml:space="preserve"> </w:t>
      </w:r>
      <w:r w:rsidR="00234F7F">
        <w:t>Disclosure</w:t>
      </w:r>
      <w:r w:rsidR="00234F7F">
        <w:rPr>
          <w:spacing w:val="40"/>
        </w:rPr>
        <w:t xml:space="preserve"> </w:t>
      </w:r>
      <w:r w:rsidR="00234F7F">
        <w:t>Agreement</w:t>
      </w:r>
      <w:r w:rsidR="00234F7F">
        <w:rPr>
          <w:spacing w:val="40"/>
        </w:rPr>
        <w:t xml:space="preserve"> </w:t>
      </w:r>
      <w:r w:rsidR="00234F7F">
        <w:t>Program Regulations</w:t>
      </w:r>
      <w:r w:rsidR="00234F7F">
        <w:rPr>
          <w:spacing w:val="80"/>
        </w:rPr>
        <w:t xml:space="preserve"> </w:t>
      </w:r>
      <w:r w:rsidR="00234F7F">
        <w:t>Relating</w:t>
      </w:r>
      <w:r w:rsidR="00234F7F">
        <w:rPr>
          <w:spacing w:val="80"/>
        </w:rPr>
        <w:t xml:space="preserve"> </w:t>
      </w:r>
      <w:r w:rsidR="00234F7F">
        <w:t>to</w:t>
      </w:r>
      <w:r w:rsidR="00234F7F">
        <w:rPr>
          <w:spacing w:val="80"/>
        </w:rPr>
        <w:t xml:space="preserve"> </w:t>
      </w:r>
      <w:r w:rsidR="00234F7F">
        <w:t>Estimation,”</w:t>
      </w:r>
      <w:r w:rsidR="00234F7F">
        <w:rPr>
          <w:spacing w:val="80"/>
        </w:rPr>
        <w:t xml:space="preserve"> </w:t>
      </w:r>
      <w:r w:rsidR="00234F7F">
        <w:t>the</w:t>
      </w:r>
      <w:r w:rsidR="00234F7F">
        <w:rPr>
          <w:spacing w:val="80"/>
        </w:rPr>
        <w:t xml:space="preserve"> </w:t>
      </w:r>
      <w:r w:rsidR="00234F7F">
        <w:t>“Secretary</w:t>
      </w:r>
      <w:r w:rsidR="00234F7F">
        <w:rPr>
          <w:spacing w:val="80"/>
        </w:rPr>
        <w:t xml:space="preserve"> </w:t>
      </w:r>
      <w:r w:rsidR="00234F7F">
        <w:t>of</w:t>
      </w:r>
      <w:r w:rsidR="00234F7F">
        <w:rPr>
          <w:spacing w:val="80"/>
        </w:rPr>
        <w:t xml:space="preserve"> </w:t>
      </w:r>
      <w:r w:rsidR="00234F7F">
        <w:t>State’s</w:t>
      </w:r>
      <w:r w:rsidR="00234F7F">
        <w:rPr>
          <w:spacing w:val="80"/>
        </w:rPr>
        <w:t xml:space="preserve"> </w:t>
      </w:r>
      <w:r w:rsidR="00234F7F">
        <w:t>Implementing</w:t>
      </w:r>
      <w:r w:rsidR="00234F7F">
        <w:rPr>
          <w:spacing w:val="80"/>
        </w:rPr>
        <w:t xml:space="preserve"> </w:t>
      </w:r>
      <w:r w:rsidR="00234F7F">
        <w:t>Guidelines</w:t>
      </w:r>
      <w:r w:rsidR="00234F7F">
        <w:rPr>
          <w:spacing w:val="80"/>
        </w:rPr>
        <w:t xml:space="preserve"> </w:t>
      </w:r>
      <w:r w:rsidR="00234F7F">
        <w:t>Abandoned</w:t>
      </w:r>
      <w:r w:rsidR="00234F7F">
        <w:rPr>
          <w:spacing w:val="80"/>
        </w:rPr>
        <w:t xml:space="preserve"> </w:t>
      </w:r>
      <w:r w:rsidR="00234F7F">
        <w:t>or Unclaimed</w:t>
      </w:r>
      <w:r w:rsidR="00234F7F">
        <w:rPr>
          <w:spacing w:val="38"/>
        </w:rPr>
        <w:t xml:space="preserve"> </w:t>
      </w:r>
      <w:r w:rsidR="00234F7F">
        <w:t>Property</w:t>
      </w:r>
      <w:r w:rsidR="00234F7F">
        <w:rPr>
          <w:spacing w:val="34"/>
        </w:rPr>
        <w:t xml:space="preserve"> </w:t>
      </w:r>
      <w:r w:rsidR="00234F7F">
        <w:t>Voluntary</w:t>
      </w:r>
      <w:r w:rsidR="00234F7F">
        <w:rPr>
          <w:spacing w:val="40"/>
        </w:rPr>
        <w:t xml:space="preserve"> </w:t>
      </w:r>
      <w:r w:rsidR="00234F7F">
        <w:t>Disclosure</w:t>
      </w:r>
      <w:r w:rsidR="00234F7F">
        <w:rPr>
          <w:spacing w:val="39"/>
        </w:rPr>
        <w:t xml:space="preserve"> </w:t>
      </w:r>
      <w:r w:rsidR="00234F7F">
        <w:t>Agreement</w:t>
      </w:r>
      <w:r w:rsidR="00234F7F">
        <w:rPr>
          <w:spacing w:val="38"/>
        </w:rPr>
        <w:t xml:space="preserve"> </w:t>
      </w:r>
      <w:r w:rsidR="00234F7F">
        <w:t>Program”</w:t>
      </w:r>
      <w:r w:rsidR="00234F7F">
        <w:rPr>
          <w:spacing w:val="39"/>
        </w:rPr>
        <w:t xml:space="preserve"> </w:t>
      </w:r>
      <w:r w:rsidR="00234F7F">
        <w:t>and</w:t>
      </w:r>
      <w:r w:rsidR="00234F7F">
        <w:rPr>
          <w:spacing w:val="38"/>
        </w:rPr>
        <w:t xml:space="preserve"> </w:t>
      </w:r>
      <w:r w:rsidR="00234F7F">
        <w:t>the</w:t>
      </w:r>
      <w:r w:rsidR="00234F7F">
        <w:rPr>
          <w:spacing w:val="39"/>
        </w:rPr>
        <w:t xml:space="preserve"> </w:t>
      </w:r>
      <w:r w:rsidR="00234F7F">
        <w:t>associated</w:t>
      </w:r>
      <w:r w:rsidR="00234F7F">
        <w:rPr>
          <w:spacing w:val="38"/>
        </w:rPr>
        <w:t xml:space="preserve"> </w:t>
      </w:r>
      <w:r w:rsidR="00234F7F">
        <w:t>deliverables</w:t>
      </w:r>
      <w:r w:rsidR="00234F7F">
        <w:rPr>
          <w:spacing w:val="37"/>
        </w:rPr>
        <w:t xml:space="preserve"> </w:t>
      </w:r>
      <w:r w:rsidR="00234F7F">
        <w:t>as</w:t>
      </w:r>
      <w:r w:rsidR="00234F7F">
        <w:rPr>
          <w:spacing w:val="38"/>
        </w:rPr>
        <w:t xml:space="preserve"> </w:t>
      </w:r>
      <w:r w:rsidR="00234F7F">
        <w:t>outlined</w:t>
      </w:r>
      <w:r w:rsidR="00234F7F">
        <w:rPr>
          <w:spacing w:val="38"/>
        </w:rPr>
        <w:t xml:space="preserve"> </w:t>
      </w:r>
      <w:r w:rsidR="00234F7F">
        <w:t>in these documents.</w:t>
      </w:r>
      <w:r w:rsidR="00567080">
        <w:t xml:space="preserve">  </w:t>
      </w:r>
    </w:p>
    <w:p w14:paraId="57E0CD50" w14:textId="77777777" w:rsidR="00567080" w:rsidRDefault="00567080">
      <w:pPr>
        <w:pStyle w:val="BodyText"/>
        <w:ind w:left="219" w:right="119"/>
      </w:pPr>
    </w:p>
    <w:p w14:paraId="2BE4A7E6" w14:textId="40EB82D7" w:rsidR="00410B9C" w:rsidRDefault="00567080">
      <w:pPr>
        <w:pStyle w:val="BodyText"/>
        <w:ind w:left="219" w:right="119"/>
      </w:pPr>
      <w:r>
        <w:lastRenderedPageBreak/>
        <w:t xml:space="preserve">It is imperative </w:t>
      </w:r>
      <w:r w:rsidR="005C4C99">
        <w:t xml:space="preserve">and agreed </w:t>
      </w:r>
      <w:r>
        <w:t xml:space="preserve">that Target, </w:t>
      </w:r>
      <w:r w:rsidR="005C4C99">
        <w:t xml:space="preserve">by and </w:t>
      </w:r>
      <w:r>
        <w:t xml:space="preserve">through Purchaser, </w:t>
      </w:r>
      <w:r w:rsidR="00354162">
        <w:t xml:space="preserve">and Purchaser, </w:t>
      </w:r>
      <w:r>
        <w:t xml:space="preserve">provide as much information and documentation as possible in this process because, </w:t>
      </w:r>
      <w:r w:rsidR="009A0DCF">
        <w:t>notwithstanding a</w:t>
      </w:r>
      <w:r>
        <w:t xml:space="preserve"> Purchaser</w:t>
      </w:r>
      <w:r w:rsidR="009A0DCF">
        <w:t>’s choice</w:t>
      </w:r>
      <w:r>
        <w:t xml:space="preserve"> to pay the abandoned and unclaimed property liability listed in the Establishment of Escrow Amount Notice, </w:t>
      </w:r>
      <w:r w:rsidR="009A0DCF">
        <w:t>holders</w:t>
      </w:r>
      <w:r w:rsidR="005C4C99">
        <w:t xml:space="preserve"> or holders</w:t>
      </w:r>
      <w:r w:rsidR="00354162">
        <w:t>’ successors,</w:t>
      </w:r>
      <w:r w:rsidR="009A0DCF">
        <w:t xml:space="preserve"> at all times assume the applicable reporting responsibilities for abandoned and unclaimed property amounts where names and addresses do exist which may be due or payable to other states; these amounts are not subject to any release and indemnification provisions received through this program.</w:t>
      </w:r>
    </w:p>
    <w:p w14:paraId="2BE4A7E7" w14:textId="77777777" w:rsidR="00410B9C" w:rsidRDefault="00410B9C">
      <w:pPr>
        <w:pStyle w:val="BodyText"/>
        <w:spacing w:before="6"/>
        <w:rPr>
          <w:sz w:val="24"/>
        </w:rPr>
      </w:pPr>
    </w:p>
    <w:p w14:paraId="2BE4A7E8" w14:textId="216BE393" w:rsidR="00410B9C" w:rsidRDefault="00234F7F">
      <w:pPr>
        <w:pStyle w:val="BodyText"/>
        <w:ind w:left="219" w:right="251"/>
        <w:jc w:val="both"/>
      </w:pPr>
      <w:r>
        <w:t>The State agrees that</w:t>
      </w:r>
      <w:r w:rsidR="001E07AE">
        <w:t xml:space="preserve"> </w:t>
      </w:r>
      <w:r w:rsidR="007771FC">
        <w:t xml:space="preserve">upon confirmation by Purchaser that it wishes to pay the amount noted in the </w:t>
      </w:r>
      <w:r w:rsidR="00B300EE">
        <w:t xml:space="preserve">Establishment of Escrow </w:t>
      </w:r>
      <w:r w:rsidR="00F178C4">
        <w:t xml:space="preserve">Amount </w:t>
      </w:r>
      <w:r w:rsidR="00B300EE">
        <w:t>Notice</w:t>
      </w:r>
      <w:r w:rsidR="009A0DCF">
        <w:t>, and upon payment of the abandoned and unclaimed property to the State or the establishment of a payment plan by the Purchaser that is accepted by the State, the State will enter into a Voluntary Disclosure Closing Agreement, Form VDA-2M&amp;A, granting the Purchaser the protections contemplated by that agreement.  The State alternatively agrees that</w:t>
      </w:r>
      <w:r w:rsidR="007771FC">
        <w:t xml:space="preserve"> </w:t>
      </w:r>
      <w:r>
        <w:t xml:space="preserve">upon its satisfactory review and approval of the reports and materials submitted by the </w:t>
      </w:r>
      <w:r w:rsidR="007771FC">
        <w:t>Purchaser</w:t>
      </w:r>
      <w:r w:rsidR="00CB6992">
        <w:t xml:space="preserve"> following its self-review</w:t>
      </w:r>
      <w:r>
        <w:t xml:space="preserve">, and upon payment of the abandoned property to the State or the establishment of a payment plan by the </w:t>
      </w:r>
      <w:r w:rsidR="00CB6992">
        <w:t>Purchaser</w:t>
      </w:r>
      <w:r>
        <w:t xml:space="preserve"> that is accepted by the State, the State will enter into </w:t>
      </w:r>
      <w:r w:rsidR="009A0DCF">
        <w:t>a</w:t>
      </w:r>
      <w:r>
        <w:t xml:space="preserve"> Voluntary Disclosure </w:t>
      </w:r>
      <w:r w:rsidR="00C95E49">
        <w:t xml:space="preserve">Closing </w:t>
      </w:r>
      <w:r>
        <w:t>Agreement</w:t>
      </w:r>
      <w:r w:rsidR="009A0DCF">
        <w:t xml:space="preserve">, </w:t>
      </w:r>
      <w:r w:rsidR="00B85565">
        <w:t>F</w:t>
      </w:r>
      <w:r w:rsidR="009A0DCF">
        <w:t>orm VDA-2</w:t>
      </w:r>
      <w:r w:rsidR="00D0222E">
        <w:t>M&amp;A</w:t>
      </w:r>
      <w:r w:rsidR="009A0DCF">
        <w:t>,</w:t>
      </w:r>
      <w:r>
        <w:t xml:space="preserve"> with the </w:t>
      </w:r>
      <w:r w:rsidR="00CB6992">
        <w:t>Purchaser</w:t>
      </w:r>
      <w:r>
        <w:t xml:space="preserve">, granting the </w:t>
      </w:r>
      <w:r w:rsidR="00CB6992">
        <w:t>Purchaser</w:t>
      </w:r>
      <w:r>
        <w:t xml:space="preserve"> the protections contemplated by that agreement.</w:t>
      </w:r>
      <w:r w:rsidR="009A0DCF">
        <w:t xml:space="preserve">  </w:t>
      </w:r>
    </w:p>
    <w:p w14:paraId="2BE4A7E9" w14:textId="77777777" w:rsidR="00410B9C" w:rsidRPr="00CB413B" w:rsidRDefault="00410B9C">
      <w:pPr>
        <w:pStyle w:val="BodyText"/>
        <w:spacing w:before="11"/>
      </w:pPr>
    </w:p>
    <w:p w14:paraId="2BE4A7EC" w14:textId="4EF2D4B9" w:rsidR="00410B9C" w:rsidRPr="00CB413B" w:rsidRDefault="00234F7F" w:rsidP="004E334E">
      <w:pPr>
        <w:pStyle w:val="BodyText"/>
        <w:keepNext/>
        <w:ind w:left="216" w:right="259"/>
        <w:jc w:val="both"/>
      </w:pPr>
      <w:r>
        <w:t xml:space="preserve">The </w:t>
      </w:r>
      <w:r w:rsidR="00010AEB">
        <w:t>Purchaser</w:t>
      </w:r>
      <w:r>
        <w:t xml:space="preserve"> agrees to enter into a Voluntary Disclosure</w:t>
      </w:r>
      <w:r w:rsidR="00D03A16">
        <w:t xml:space="preserve"> Closing</w:t>
      </w:r>
      <w:r>
        <w:t xml:space="preserve"> </w:t>
      </w:r>
      <w:proofErr w:type="gramStart"/>
      <w:r>
        <w:t>Agreement</w:t>
      </w:r>
      <w:r w:rsidR="009A0DCF">
        <w:t xml:space="preserve">,  </w:t>
      </w:r>
      <w:r w:rsidR="00A16C6F">
        <w:t>F</w:t>
      </w:r>
      <w:r w:rsidR="009A0DCF">
        <w:t>orm</w:t>
      </w:r>
      <w:proofErr w:type="gramEnd"/>
      <w:r w:rsidR="009A0DCF">
        <w:t xml:space="preserve"> VDA-2M&amp;A, </w:t>
      </w:r>
      <w:r>
        <w:t>with the State and to either pay the abandoned or unclaimed property due to the State under the Abandoned or Unclaimed Property Law, or enter</w:t>
      </w:r>
      <w:r w:rsidRPr="00CB413B">
        <w:t xml:space="preserve"> </w:t>
      </w:r>
      <w:r>
        <w:t>into a plan for its payment, no later t</w:t>
      </w:r>
      <w:r w:rsidRPr="009A0DCF">
        <w:t xml:space="preserve">han the </w:t>
      </w:r>
      <w:r w:rsidRPr="0058511A">
        <w:t>two year</w:t>
      </w:r>
      <w:r>
        <w:t xml:space="preserve"> anniversary of the effective date of this Agreement.</w:t>
      </w:r>
      <w:r w:rsidRPr="00CB413B">
        <w:t xml:space="preserve"> </w:t>
      </w:r>
      <w:r>
        <w:t xml:space="preserve">If the </w:t>
      </w:r>
      <w:r w:rsidR="00FB5A59">
        <w:t>Purchaser</w:t>
      </w:r>
      <w:r>
        <w:t xml:space="preserve"> fails to </w:t>
      </w:r>
      <w:proofErr w:type="gramStart"/>
      <w:r>
        <w:t>enter into</w:t>
      </w:r>
      <w:proofErr w:type="gramEnd"/>
      <w:r>
        <w:t xml:space="preserve"> a Voluntary Disclosure </w:t>
      </w:r>
      <w:r w:rsidR="00AF092C">
        <w:t xml:space="preserve">Closing </w:t>
      </w:r>
      <w:r>
        <w:t xml:space="preserve">Agreement and make payment or enter into a plan for payment within 30 days after the two years have expired, </w:t>
      </w:r>
      <w:r w:rsidR="00A5162F">
        <w:t xml:space="preserve">the Purchaser </w:t>
      </w:r>
      <w:r>
        <w:t>may be referred to the State Escheator for examinatio</w:t>
      </w:r>
      <w:r w:rsidR="00010AEB">
        <w:t xml:space="preserve">n </w:t>
      </w:r>
      <w:r>
        <w:t>pursuant</w:t>
      </w:r>
      <w:r w:rsidRPr="00CB413B">
        <w:t xml:space="preserve"> </w:t>
      </w:r>
      <w:r>
        <w:t>to</w:t>
      </w:r>
      <w:r w:rsidRPr="00CB413B">
        <w:t xml:space="preserve"> </w:t>
      </w:r>
      <w:r w:rsidR="00A5162F">
        <w:t>1</w:t>
      </w:r>
      <w:r w:rsidR="00CB413B">
        <w:t xml:space="preserve">2 </w:t>
      </w:r>
      <w:r w:rsidR="00CB413B" w:rsidRPr="000F1773">
        <w:rPr>
          <w:u w:val="single"/>
        </w:rPr>
        <w:t>Del. C</w:t>
      </w:r>
      <w:r w:rsidR="00CB413B" w:rsidRPr="00CB413B">
        <w:t>.</w:t>
      </w:r>
      <w:r w:rsidR="00CB413B">
        <w:t xml:space="preserve"> §1172</w:t>
      </w:r>
      <w:r w:rsidR="00A54B88">
        <w:t xml:space="preserve"> and the </w:t>
      </w:r>
      <w:r w:rsidR="00023CF5">
        <w:t xml:space="preserve">successor liability cap identified in the Establishment of Escrow Amount Notice </w:t>
      </w:r>
      <w:r w:rsidR="00B2150C">
        <w:t>may no</w:t>
      </w:r>
      <w:r w:rsidR="00744DFB">
        <w:t xml:space="preserve"> longer be valid</w:t>
      </w:r>
      <w:r>
        <w:t>.</w:t>
      </w:r>
      <w:r>
        <w:tab/>
      </w:r>
      <w:r w:rsidR="00744DFB">
        <w:t xml:space="preserve">  </w:t>
      </w:r>
      <w:r>
        <w:t>However,</w:t>
      </w:r>
      <w:r w:rsidRPr="00CB413B">
        <w:t xml:space="preserve"> </w:t>
      </w:r>
      <w:r>
        <w:t>the</w:t>
      </w:r>
      <w:r w:rsidRPr="00CB413B">
        <w:t xml:space="preserve"> </w:t>
      </w:r>
      <w:r w:rsidR="00010AEB" w:rsidRPr="00CB413B">
        <w:t>Purchaser</w:t>
      </w:r>
      <w:r w:rsidRPr="00CB413B">
        <w:t xml:space="preserve"> and State shall work together in good faith to complete the Program as soon as practicable.</w:t>
      </w:r>
    </w:p>
    <w:p w14:paraId="18F02353" w14:textId="77777777" w:rsidR="00DB144D" w:rsidRDefault="00DB144D">
      <w:pPr>
        <w:tabs>
          <w:tab w:val="left" w:pos="6300"/>
        </w:tabs>
        <w:spacing w:before="72"/>
        <w:ind w:left="220" w:right="475"/>
        <w:rPr>
          <w:sz w:val="24"/>
        </w:rPr>
      </w:pPr>
    </w:p>
    <w:p w14:paraId="6E755495" w14:textId="5291A3F8" w:rsidR="00DB144D" w:rsidRDefault="00DB144D" w:rsidP="00DB144D">
      <w:pPr>
        <w:pStyle w:val="BodyText"/>
        <w:spacing w:before="1"/>
        <w:ind w:left="219" w:right="235"/>
        <w:jc w:val="both"/>
      </w:pPr>
      <w:r>
        <w:t>Should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CB413B">
        <w:t>Target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subsidiary and/or related</w:t>
      </w:r>
      <w:r>
        <w:rPr>
          <w:spacing w:val="-1"/>
        </w:rPr>
        <w:t xml:space="preserve"> </w:t>
      </w:r>
      <w:r>
        <w:t>entity</w:t>
      </w:r>
      <w:r>
        <w:rPr>
          <w:spacing w:val="-1"/>
        </w:rPr>
        <w:t xml:space="preserve"> </w:t>
      </w:r>
      <w:r w:rsidR="00AF24A1">
        <w:t>with or part of the merger or acquisition</w:t>
      </w:r>
      <w:r>
        <w:t>,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ineligible</w:t>
      </w:r>
      <w:r>
        <w:rPr>
          <w:spacing w:val="-3"/>
        </w:rPr>
        <w:t xml:space="preserve"> </w:t>
      </w:r>
      <w:r>
        <w:t xml:space="preserve">pursuant to </w:t>
      </w:r>
      <w:r w:rsidR="00A5162F">
        <w:t>1</w:t>
      </w:r>
      <w:r w:rsidR="00CB413B">
        <w:t xml:space="preserve">2 </w:t>
      </w:r>
      <w:r w:rsidR="00CB413B" w:rsidRPr="000D5604">
        <w:rPr>
          <w:u w:val="single"/>
        </w:rPr>
        <w:t>Del. C.</w:t>
      </w:r>
      <w:r w:rsidR="00CB413B">
        <w:t xml:space="preserve"> §</w:t>
      </w:r>
      <w:r w:rsidR="00A5162F">
        <w:t>1</w:t>
      </w:r>
      <w:r w:rsidR="00CB413B">
        <w:t>173(e)</w:t>
      </w:r>
      <w:r>
        <w:t xml:space="preserve"> or any other provision of Delaware law,</w:t>
      </w:r>
      <w:r>
        <w:rPr>
          <w:spacing w:val="-2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VDA-1M&amp;A</w:t>
      </w:r>
      <w:r>
        <w:rPr>
          <w:spacing w:val="32"/>
        </w:rPr>
        <w:t xml:space="preserve"> </w:t>
      </w:r>
      <w:r>
        <w:t>enrollment</w:t>
      </w:r>
      <w:r>
        <w:rPr>
          <w:spacing w:val="32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deemed null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void</w:t>
      </w:r>
      <w:r>
        <w:rPr>
          <w:spacing w:val="40"/>
        </w:rPr>
        <w:t xml:space="preserve"> </w:t>
      </w:r>
      <w:r>
        <w:t>only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respect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t>entities which are deemed ineligible to participate.</w:t>
      </w:r>
    </w:p>
    <w:p w14:paraId="2BE4A7ED" w14:textId="77777777" w:rsidR="00410B9C" w:rsidRDefault="00410B9C">
      <w:pPr>
        <w:pStyle w:val="BodyText"/>
        <w:rPr>
          <w:sz w:val="24"/>
        </w:rPr>
      </w:pPr>
    </w:p>
    <w:p w14:paraId="2BE4A7EE" w14:textId="3C6AB28C" w:rsidR="00410B9C" w:rsidRDefault="00234F7F">
      <w:pPr>
        <w:ind w:left="219" w:right="475"/>
        <w:rPr>
          <w:sz w:val="24"/>
        </w:rPr>
      </w:pPr>
      <w:r>
        <w:rPr>
          <w:sz w:val="24"/>
        </w:rPr>
        <w:t xml:space="preserve">The </w:t>
      </w:r>
      <w:r w:rsidR="00CB413B">
        <w:rPr>
          <w:sz w:val="24"/>
        </w:rPr>
        <w:t>Purchase</w:t>
      </w:r>
      <w:r>
        <w:rPr>
          <w:sz w:val="24"/>
        </w:rPr>
        <w:t>r understands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that time is of the essence and the </w:t>
      </w:r>
      <w:r w:rsidR="00CB413B">
        <w:rPr>
          <w:sz w:val="24"/>
        </w:rPr>
        <w:t>Purchaser</w:t>
      </w:r>
      <w:r>
        <w:rPr>
          <w:sz w:val="24"/>
        </w:rPr>
        <w:t>’s delay in completing its review may</w:t>
      </w:r>
      <w:r>
        <w:rPr>
          <w:spacing w:val="80"/>
          <w:sz w:val="24"/>
        </w:rPr>
        <w:t xml:space="preserve"> </w:t>
      </w:r>
      <w:r>
        <w:rPr>
          <w:sz w:val="24"/>
        </w:rPr>
        <w:t>result in either</w:t>
      </w:r>
    </w:p>
    <w:p w14:paraId="2BE4A7EF" w14:textId="77777777" w:rsidR="00410B9C" w:rsidRDefault="00410B9C">
      <w:pPr>
        <w:pStyle w:val="BodyText"/>
        <w:rPr>
          <w:sz w:val="24"/>
        </w:rPr>
      </w:pPr>
    </w:p>
    <w:p w14:paraId="2BE4A7F0" w14:textId="0FC60AEB" w:rsidR="00410B9C" w:rsidRDefault="00234F7F">
      <w:pPr>
        <w:pStyle w:val="ListParagraph"/>
        <w:numPr>
          <w:ilvl w:val="0"/>
          <w:numId w:val="1"/>
        </w:numPr>
        <w:tabs>
          <w:tab w:val="left" w:pos="1599"/>
        </w:tabs>
        <w:ind w:left="1599" w:hanging="719"/>
        <w:rPr>
          <w:sz w:val="24"/>
        </w:rPr>
      </w:pPr>
      <w:r>
        <w:rPr>
          <w:sz w:val="24"/>
        </w:rPr>
        <w:t>removal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CB413B">
        <w:rPr>
          <w:sz w:val="24"/>
        </w:rPr>
        <w:t>Purchaser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2BE4A7F1" w14:textId="77777777" w:rsidR="00410B9C" w:rsidRDefault="00410B9C">
      <w:pPr>
        <w:pStyle w:val="BodyText"/>
        <w:spacing w:before="10"/>
        <w:rPr>
          <w:sz w:val="20"/>
        </w:rPr>
      </w:pPr>
    </w:p>
    <w:p w14:paraId="2BE4A7F2" w14:textId="46E544D9" w:rsidR="00410B9C" w:rsidRDefault="00234F7F">
      <w:pPr>
        <w:pStyle w:val="ListParagraph"/>
        <w:numPr>
          <w:ilvl w:val="0"/>
          <w:numId w:val="1"/>
        </w:numPr>
        <w:tabs>
          <w:tab w:val="left" w:pos="1597"/>
          <w:tab w:val="left" w:pos="1599"/>
        </w:tabs>
        <w:ind w:left="1599" w:right="532"/>
        <w:jc w:val="both"/>
        <w:rPr>
          <w:sz w:val="24"/>
        </w:rPr>
      </w:pPr>
      <w:r>
        <w:rPr>
          <w:sz w:val="24"/>
        </w:rPr>
        <w:t>the imposition of interest on the abandoned property payable to the State, notwithstanding the parties’ expectation that by the terms of the form Voluntary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Disclosure Closing Agreement to be executed after the </w:t>
      </w:r>
      <w:r w:rsidR="00CB413B">
        <w:rPr>
          <w:sz w:val="24"/>
        </w:rPr>
        <w:t>Purchaser</w:t>
      </w:r>
      <w:r>
        <w:rPr>
          <w:sz w:val="24"/>
        </w:rPr>
        <w:t>’s review of its books and records that interest is to be waived.</w:t>
      </w:r>
      <w:r>
        <w:rPr>
          <w:spacing w:val="80"/>
          <w:sz w:val="24"/>
        </w:rPr>
        <w:t xml:space="preserve"> </w:t>
      </w:r>
      <w:r>
        <w:rPr>
          <w:sz w:val="24"/>
        </w:rPr>
        <w:t>In the event of such delay, the form Voluntary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 Closing Agreement will be amended to provide for the imposition of interest on all abandoned property payable to the State from the due date of the report(s).</w:t>
      </w:r>
    </w:p>
    <w:p w14:paraId="2BE4A7F3" w14:textId="77777777" w:rsidR="00410B9C" w:rsidRDefault="00410B9C">
      <w:pPr>
        <w:pStyle w:val="BodyText"/>
        <w:rPr>
          <w:sz w:val="26"/>
        </w:rPr>
      </w:pPr>
    </w:p>
    <w:p w14:paraId="2BE4A7F4" w14:textId="77777777" w:rsidR="00410B9C" w:rsidRDefault="00410B9C">
      <w:pPr>
        <w:pStyle w:val="BodyText"/>
        <w:rPr>
          <w:sz w:val="26"/>
        </w:rPr>
      </w:pPr>
    </w:p>
    <w:p w14:paraId="2BE4A7F5" w14:textId="77777777" w:rsidR="00410B9C" w:rsidRDefault="00410B9C">
      <w:pPr>
        <w:pStyle w:val="BodyText"/>
        <w:rPr>
          <w:sz w:val="26"/>
        </w:rPr>
      </w:pPr>
    </w:p>
    <w:p w14:paraId="2E397514" w14:textId="77777777" w:rsidR="00D20225" w:rsidRDefault="00D20225">
      <w:pPr>
        <w:pStyle w:val="Heading1"/>
        <w:spacing w:before="176"/>
      </w:pPr>
    </w:p>
    <w:p w14:paraId="2BE4A7F6" w14:textId="71DFB541" w:rsidR="00410B9C" w:rsidRDefault="00683210">
      <w:pPr>
        <w:pStyle w:val="Heading1"/>
        <w:spacing w:before="176"/>
      </w:pPr>
      <w:r>
        <w:lastRenderedPageBreak/>
        <w:t>Purchaser</w:t>
      </w:r>
      <w:r w:rsidR="00234F7F">
        <w:rPr>
          <w:spacing w:val="-3"/>
        </w:rPr>
        <w:t xml:space="preserve"> </w:t>
      </w:r>
      <w:r w:rsidR="00234F7F">
        <w:t>Signature</w:t>
      </w:r>
      <w:r w:rsidR="00234F7F">
        <w:rPr>
          <w:spacing w:val="-2"/>
        </w:rPr>
        <w:t xml:space="preserve"> </w:t>
      </w:r>
      <w:r w:rsidR="00234F7F">
        <w:t>and</w:t>
      </w:r>
      <w:r w:rsidR="00234F7F">
        <w:rPr>
          <w:spacing w:val="-3"/>
        </w:rPr>
        <w:t xml:space="preserve"> </w:t>
      </w:r>
      <w:r w:rsidR="00234F7F">
        <w:rPr>
          <w:spacing w:val="-2"/>
        </w:rPr>
        <w:t>Information</w:t>
      </w:r>
    </w:p>
    <w:p w14:paraId="2BE4A7F7" w14:textId="77777777" w:rsidR="00410B9C" w:rsidRDefault="00234F7F">
      <w:pPr>
        <w:tabs>
          <w:tab w:val="left" w:pos="4119"/>
          <w:tab w:val="left" w:pos="4599"/>
          <w:tab w:val="left" w:pos="5319"/>
          <w:tab w:val="left" w:pos="10479"/>
        </w:tabs>
        <w:spacing w:before="225"/>
        <w:ind w:left="220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By: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BE4A7F8" w14:textId="77777777" w:rsidR="00410B9C" w:rsidRDefault="00410B9C">
      <w:pPr>
        <w:pStyle w:val="BodyText"/>
        <w:spacing w:before="2"/>
        <w:rPr>
          <w:sz w:val="15"/>
        </w:rPr>
      </w:pPr>
    </w:p>
    <w:p w14:paraId="2BE4A7F9" w14:textId="77777777" w:rsidR="00410B9C" w:rsidRDefault="00234F7F">
      <w:pPr>
        <w:tabs>
          <w:tab w:val="left" w:pos="10479"/>
        </w:tabs>
        <w:spacing w:before="90"/>
        <w:ind w:left="4600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</w:p>
    <w:p w14:paraId="2BE4A7FA" w14:textId="77777777" w:rsidR="00410B9C" w:rsidRDefault="00410B9C">
      <w:pPr>
        <w:pStyle w:val="BodyText"/>
        <w:spacing w:before="4"/>
        <w:rPr>
          <w:sz w:val="15"/>
        </w:rPr>
      </w:pPr>
    </w:p>
    <w:p w14:paraId="2BE4A7FB" w14:textId="77777777" w:rsidR="00410B9C" w:rsidRDefault="00234F7F">
      <w:pPr>
        <w:tabs>
          <w:tab w:val="left" w:pos="10479"/>
        </w:tabs>
        <w:spacing w:before="90"/>
        <w:ind w:left="4600"/>
        <w:rPr>
          <w:sz w:val="24"/>
        </w:rPr>
      </w:pPr>
      <w:r>
        <w:rPr>
          <w:sz w:val="24"/>
        </w:rPr>
        <w:t>Title:</w:t>
      </w:r>
      <w:r>
        <w:rPr>
          <w:spacing w:val="139"/>
          <w:sz w:val="24"/>
        </w:rPr>
        <w:t xml:space="preserve"> </w:t>
      </w:r>
      <w:r>
        <w:rPr>
          <w:sz w:val="24"/>
          <w:u w:val="single"/>
        </w:rPr>
        <w:tab/>
      </w:r>
    </w:p>
    <w:p w14:paraId="2BE4A7FC" w14:textId="77777777" w:rsidR="00410B9C" w:rsidRDefault="00410B9C">
      <w:pPr>
        <w:pStyle w:val="BodyText"/>
        <w:rPr>
          <w:sz w:val="20"/>
        </w:rPr>
      </w:pPr>
    </w:p>
    <w:p w14:paraId="2BE4A7FD" w14:textId="77777777" w:rsidR="00410B9C" w:rsidRDefault="00410B9C">
      <w:pPr>
        <w:pStyle w:val="BodyText"/>
        <w:spacing w:before="6"/>
        <w:rPr>
          <w:sz w:val="19"/>
        </w:rPr>
      </w:pPr>
    </w:p>
    <w:p w14:paraId="2BE4A7FE" w14:textId="7682B1FD" w:rsidR="00410B9C" w:rsidRDefault="00234F7F">
      <w:pPr>
        <w:tabs>
          <w:tab w:val="left" w:pos="10479"/>
        </w:tabs>
        <w:spacing w:before="90"/>
        <w:ind w:left="220"/>
        <w:rPr>
          <w:sz w:val="24"/>
        </w:rPr>
      </w:pPr>
      <w:r>
        <w:rPr>
          <w:sz w:val="24"/>
        </w:rPr>
        <w:t xml:space="preserve">Name and Title of designated </w:t>
      </w:r>
      <w:r w:rsidR="00683210">
        <w:rPr>
          <w:sz w:val="24"/>
        </w:rPr>
        <w:t xml:space="preserve">Purchaser </w:t>
      </w:r>
      <w:r>
        <w:rPr>
          <w:sz w:val="24"/>
        </w:rPr>
        <w:t>contact:</w:t>
      </w:r>
      <w:r>
        <w:rPr>
          <w:spacing w:val="63"/>
          <w:sz w:val="24"/>
        </w:rPr>
        <w:t xml:space="preserve"> </w:t>
      </w:r>
      <w:r>
        <w:rPr>
          <w:sz w:val="24"/>
          <w:u w:val="single"/>
        </w:rPr>
        <w:tab/>
      </w:r>
    </w:p>
    <w:p w14:paraId="2BE4A7FF" w14:textId="77777777" w:rsidR="00410B9C" w:rsidRDefault="00410B9C">
      <w:pPr>
        <w:pStyle w:val="BodyText"/>
        <w:spacing w:before="8"/>
        <w:rPr>
          <w:sz w:val="21"/>
        </w:rPr>
      </w:pPr>
    </w:p>
    <w:p w14:paraId="2BE4A800" w14:textId="4FCB8D46" w:rsidR="00410B9C" w:rsidRDefault="00683210">
      <w:pPr>
        <w:tabs>
          <w:tab w:val="left" w:pos="10479"/>
        </w:tabs>
        <w:spacing w:line="403" w:lineRule="auto"/>
        <w:ind w:left="220" w:right="479"/>
        <w:rPr>
          <w:sz w:val="24"/>
        </w:rPr>
      </w:pPr>
      <w:r>
        <w:rPr>
          <w:sz w:val="24"/>
        </w:rPr>
        <w:t>Purchaser</w:t>
      </w:r>
      <w:r w:rsidR="00234F7F">
        <w:rPr>
          <w:sz w:val="24"/>
        </w:rPr>
        <w:t xml:space="preserve"> Address:</w:t>
      </w:r>
      <w:r w:rsidR="00234F7F">
        <w:rPr>
          <w:spacing w:val="40"/>
          <w:sz w:val="24"/>
        </w:rPr>
        <w:t xml:space="preserve"> </w:t>
      </w:r>
      <w:r w:rsidR="00234F7F">
        <w:rPr>
          <w:sz w:val="24"/>
          <w:u w:val="single"/>
        </w:rPr>
        <w:tab/>
      </w:r>
      <w:r w:rsidR="00234F7F">
        <w:rPr>
          <w:sz w:val="24"/>
        </w:rPr>
        <w:t xml:space="preserve"> </w:t>
      </w:r>
      <w:r>
        <w:rPr>
          <w:sz w:val="24"/>
        </w:rPr>
        <w:t>Purchaser</w:t>
      </w:r>
      <w:r w:rsidR="00234F7F">
        <w:rPr>
          <w:sz w:val="24"/>
        </w:rPr>
        <w:t xml:space="preserve"> Contact Telephone number:</w:t>
      </w:r>
      <w:r w:rsidR="00234F7F">
        <w:rPr>
          <w:spacing w:val="62"/>
          <w:sz w:val="24"/>
        </w:rPr>
        <w:t xml:space="preserve"> </w:t>
      </w:r>
      <w:r w:rsidR="00234F7F">
        <w:rPr>
          <w:sz w:val="24"/>
          <w:u w:val="single"/>
        </w:rPr>
        <w:tab/>
      </w:r>
    </w:p>
    <w:p w14:paraId="4CF2C6EC" w14:textId="37C63BEF" w:rsidR="00D72A95" w:rsidRDefault="00683210" w:rsidP="00D72A95">
      <w:pPr>
        <w:tabs>
          <w:tab w:val="left" w:pos="10479"/>
        </w:tabs>
        <w:spacing w:before="62" w:line="400" w:lineRule="auto"/>
        <w:ind w:left="220" w:right="479"/>
        <w:rPr>
          <w:sz w:val="24"/>
          <w:u w:val="single"/>
        </w:rPr>
      </w:pPr>
      <w:r>
        <w:rPr>
          <w:sz w:val="24"/>
        </w:rPr>
        <w:t>Purchaser</w:t>
      </w:r>
      <w:r w:rsidR="00234F7F">
        <w:rPr>
          <w:sz w:val="24"/>
        </w:rPr>
        <w:t xml:space="preserve"> Contact E-mail:</w:t>
      </w:r>
      <w:r w:rsidR="00234F7F">
        <w:rPr>
          <w:spacing w:val="40"/>
          <w:sz w:val="24"/>
        </w:rPr>
        <w:t xml:space="preserve"> </w:t>
      </w:r>
      <w:r w:rsidR="00234F7F">
        <w:rPr>
          <w:sz w:val="24"/>
          <w:u w:val="single"/>
        </w:rPr>
        <w:tab/>
      </w:r>
      <w:r w:rsidR="00234F7F">
        <w:rPr>
          <w:sz w:val="24"/>
        </w:rPr>
        <w:t xml:space="preserve"> </w:t>
      </w:r>
      <w:r>
        <w:rPr>
          <w:sz w:val="24"/>
        </w:rPr>
        <w:t>Purchaser</w:t>
      </w:r>
      <w:r w:rsidR="00234F7F">
        <w:rPr>
          <w:sz w:val="24"/>
        </w:rPr>
        <w:t xml:space="preserve"> FEIN:</w:t>
      </w:r>
      <w:r w:rsidR="00234F7F">
        <w:rPr>
          <w:spacing w:val="62"/>
          <w:sz w:val="24"/>
        </w:rPr>
        <w:t xml:space="preserve"> </w:t>
      </w:r>
      <w:r w:rsidR="00234F7F">
        <w:rPr>
          <w:sz w:val="24"/>
          <w:u w:val="single"/>
        </w:rPr>
        <w:tab/>
      </w:r>
    </w:p>
    <w:p w14:paraId="2BE4A803" w14:textId="319AE78F" w:rsidR="00410B9C" w:rsidRDefault="00D72A95" w:rsidP="00D72A95">
      <w:pPr>
        <w:spacing w:before="61"/>
        <w:rPr>
          <w:sz w:val="24"/>
        </w:rPr>
      </w:pPr>
      <w:r>
        <w:rPr>
          <w:sz w:val="24"/>
        </w:rPr>
        <w:t>Purchaser</w:t>
      </w:r>
      <w:r w:rsidR="00234F7F">
        <w:rPr>
          <w:spacing w:val="-3"/>
          <w:sz w:val="24"/>
        </w:rPr>
        <w:t xml:space="preserve"> </w:t>
      </w:r>
      <w:r w:rsidR="00234F7F">
        <w:rPr>
          <w:sz w:val="24"/>
        </w:rPr>
        <w:t>Advocate</w:t>
      </w:r>
      <w:r w:rsidR="00234F7F">
        <w:rPr>
          <w:spacing w:val="-2"/>
          <w:sz w:val="24"/>
        </w:rPr>
        <w:t xml:space="preserve"> </w:t>
      </w:r>
      <w:r w:rsidR="00234F7F">
        <w:rPr>
          <w:sz w:val="24"/>
        </w:rPr>
        <w:t>contact</w:t>
      </w:r>
      <w:r w:rsidR="00234F7F">
        <w:rPr>
          <w:spacing w:val="1"/>
          <w:sz w:val="24"/>
        </w:rPr>
        <w:t xml:space="preserve"> </w:t>
      </w:r>
      <w:r w:rsidR="00234F7F">
        <w:rPr>
          <w:spacing w:val="-2"/>
          <w:sz w:val="24"/>
        </w:rPr>
        <w:t>information:</w:t>
      </w:r>
    </w:p>
    <w:p w14:paraId="2BE4A804" w14:textId="77777777" w:rsidR="00410B9C" w:rsidRDefault="00410B9C">
      <w:pPr>
        <w:pStyle w:val="BodyText"/>
        <w:rPr>
          <w:sz w:val="20"/>
        </w:rPr>
      </w:pPr>
    </w:p>
    <w:p w14:paraId="2BE4A805" w14:textId="77777777" w:rsidR="00410B9C" w:rsidRDefault="00410B9C">
      <w:pPr>
        <w:pStyle w:val="BodyText"/>
        <w:spacing w:before="4"/>
        <w:rPr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4229"/>
        <w:gridCol w:w="4783"/>
      </w:tblGrid>
      <w:tr w:rsidR="00410B9C" w14:paraId="2BE4A809" w14:textId="77777777">
        <w:trPr>
          <w:trHeight w:val="429"/>
        </w:trPr>
        <w:tc>
          <w:tcPr>
            <w:tcW w:w="1644" w:type="dxa"/>
            <w:shd w:val="clear" w:color="auto" w:fill="A7A8A7"/>
          </w:tcPr>
          <w:p w14:paraId="2BE4A806" w14:textId="77777777" w:rsidR="00410B9C" w:rsidRDefault="00234F7F">
            <w:pPr>
              <w:pStyle w:val="TableParagraph"/>
              <w:spacing w:before="9" w:line="172" w:lineRule="auto"/>
              <w:ind w:left="194" w:firstLine="2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Contact Information</w:t>
            </w:r>
          </w:p>
        </w:tc>
        <w:tc>
          <w:tcPr>
            <w:tcW w:w="4229" w:type="dxa"/>
            <w:shd w:val="clear" w:color="auto" w:fill="A7A8A7"/>
          </w:tcPr>
          <w:p w14:paraId="2BE4A807" w14:textId="77777777" w:rsidR="00410B9C" w:rsidRDefault="00234F7F">
            <w:pPr>
              <w:pStyle w:val="TableParagraph"/>
              <w:spacing w:before="66"/>
              <w:ind w:left="1526" w:right="17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Advocate</w:t>
            </w:r>
          </w:p>
        </w:tc>
        <w:tc>
          <w:tcPr>
            <w:tcW w:w="4783" w:type="dxa"/>
            <w:shd w:val="clear" w:color="auto" w:fill="A7A8A7"/>
          </w:tcPr>
          <w:p w14:paraId="2BE4A808" w14:textId="77777777" w:rsidR="00410B9C" w:rsidRDefault="00234F7F">
            <w:pPr>
              <w:pStyle w:val="TableParagraph"/>
              <w:spacing w:before="66"/>
              <w:ind w:left="1807" w:right="19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Advocate</w:t>
            </w:r>
          </w:p>
        </w:tc>
      </w:tr>
      <w:tr w:rsidR="00410B9C" w14:paraId="2BE4A80D" w14:textId="77777777">
        <w:trPr>
          <w:trHeight w:val="426"/>
        </w:trPr>
        <w:tc>
          <w:tcPr>
            <w:tcW w:w="1644" w:type="dxa"/>
          </w:tcPr>
          <w:p w14:paraId="2BE4A80A" w14:textId="77777777" w:rsidR="00410B9C" w:rsidRDefault="00234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4229" w:type="dxa"/>
          </w:tcPr>
          <w:p w14:paraId="2BE4A80B" w14:textId="77777777" w:rsidR="00410B9C" w:rsidRDefault="00410B9C">
            <w:pPr>
              <w:pStyle w:val="TableParagraph"/>
            </w:pPr>
          </w:p>
        </w:tc>
        <w:tc>
          <w:tcPr>
            <w:tcW w:w="4783" w:type="dxa"/>
          </w:tcPr>
          <w:p w14:paraId="2BE4A80C" w14:textId="77777777" w:rsidR="00410B9C" w:rsidRDefault="00410B9C">
            <w:pPr>
              <w:pStyle w:val="TableParagraph"/>
            </w:pPr>
          </w:p>
        </w:tc>
      </w:tr>
      <w:tr w:rsidR="00410B9C" w14:paraId="2BE4A811" w14:textId="77777777">
        <w:trPr>
          <w:trHeight w:val="429"/>
        </w:trPr>
        <w:tc>
          <w:tcPr>
            <w:tcW w:w="1644" w:type="dxa"/>
          </w:tcPr>
          <w:p w14:paraId="2BE4A80E" w14:textId="77777777" w:rsidR="00410B9C" w:rsidRDefault="00234F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4229" w:type="dxa"/>
          </w:tcPr>
          <w:p w14:paraId="2BE4A80F" w14:textId="77777777" w:rsidR="00410B9C" w:rsidRDefault="00410B9C">
            <w:pPr>
              <w:pStyle w:val="TableParagraph"/>
            </w:pPr>
          </w:p>
        </w:tc>
        <w:tc>
          <w:tcPr>
            <w:tcW w:w="4783" w:type="dxa"/>
          </w:tcPr>
          <w:p w14:paraId="2BE4A810" w14:textId="77777777" w:rsidR="00410B9C" w:rsidRDefault="00410B9C">
            <w:pPr>
              <w:pStyle w:val="TableParagraph"/>
            </w:pPr>
          </w:p>
        </w:tc>
      </w:tr>
      <w:tr w:rsidR="00410B9C" w14:paraId="2BE4A815" w14:textId="77777777">
        <w:trPr>
          <w:trHeight w:val="429"/>
        </w:trPr>
        <w:tc>
          <w:tcPr>
            <w:tcW w:w="1644" w:type="dxa"/>
          </w:tcPr>
          <w:p w14:paraId="2BE4A812" w14:textId="77777777" w:rsidR="00410B9C" w:rsidRDefault="00234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Company</w:t>
            </w:r>
          </w:p>
        </w:tc>
        <w:tc>
          <w:tcPr>
            <w:tcW w:w="4229" w:type="dxa"/>
          </w:tcPr>
          <w:p w14:paraId="2BE4A813" w14:textId="77777777" w:rsidR="00410B9C" w:rsidRDefault="00410B9C">
            <w:pPr>
              <w:pStyle w:val="TableParagraph"/>
            </w:pPr>
          </w:p>
        </w:tc>
        <w:tc>
          <w:tcPr>
            <w:tcW w:w="4783" w:type="dxa"/>
          </w:tcPr>
          <w:p w14:paraId="2BE4A814" w14:textId="77777777" w:rsidR="00410B9C" w:rsidRDefault="00410B9C">
            <w:pPr>
              <w:pStyle w:val="TableParagraph"/>
            </w:pPr>
          </w:p>
        </w:tc>
      </w:tr>
      <w:tr w:rsidR="00410B9C" w14:paraId="2BE4A819" w14:textId="77777777">
        <w:trPr>
          <w:trHeight w:val="429"/>
        </w:trPr>
        <w:tc>
          <w:tcPr>
            <w:tcW w:w="1644" w:type="dxa"/>
          </w:tcPr>
          <w:p w14:paraId="2BE4A816" w14:textId="77777777" w:rsidR="00410B9C" w:rsidRDefault="00234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4229" w:type="dxa"/>
          </w:tcPr>
          <w:p w14:paraId="2BE4A817" w14:textId="77777777" w:rsidR="00410B9C" w:rsidRDefault="00410B9C">
            <w:pPr>
              <w:pStyle w:val="TableParagraph"/>
            </w:pPr>
          </w:p>
        </w:tc>
        <w:tc>
          <w:tcPr>
            <w:tcW w:w="4783" w:type="dxa"/>
          </w:tcPr>
          <w:p w14:paraId="2BE4A818" w14:textId="77777777" w:rsidR="00410B9C" w:rsidRDefault="00410B9C">
            <w:pPr>
              <w:pStyle w:val="TableParagraph"/>
            </w:pPr>
          </w:p>
        </w:tc>
      </w:tr>
      <w:tr w:rsidR="00410B9C" w14:paraId="2BE4A81D" w14:textId="77777777">
        <w:trPr>
          <w:trHeight w:val="429"/>
        </w:trPr>
        <w:tc>
          <w:tcPr>
            <w:tcW w:w="1644" w:type="dxa"/>
          </w:tcPr>
          <w:p w14:paraId="2BE4A81A" w14:textId="77777777" w:rsidR="00410B9C" w:rsidRDefault="00234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Phone</w:t>
            </w:r>
          </w:p>
        </w:tc>
        <w:tc>
          <w:tcPr>
            <w:tcW w:w="4229" w:type="dxa"/>
          </w:tcPr>
          <w:p w14:paraId="2BE4A81B" w14:textId="77777777" w:rsidR="00410B9C" w:rsidRDefault="00410B9C">
            <w:pPr>
              <w:pStyle w:val="TableParagraph"/>
            </w:pPr>
          </w:p>
        </w:tc>
        <w:tc>
          <w:tcPr>
            <w:tcW w:w="4783" w:type="dxa"/>
          </w:tcPr>
          <w:p w14:paraId="2BE4A81C" w14:textId="77777777" w:rsidR="00410B9C" w:rsidRDefault="00410B9C">
            <w:pPr>
              <w:pStyle w:val="TableParagraph"/>
            </w:pPr>
          </w:p>
        </w:tc>
      </w:tr>
      <w:tr w:rsidR="00410B9C" w14:paraId="2BE4A821" w14:textId="77777777">
        <w:trPr>
          <w:trHeight w:val="429"/>
        </w:trPr>
        <w:tc>
          <w:tcPr>
            <w:tcW w:w="1644" w:type="dxa"/>
          </w:tcPr>
          <w:p w14:paraId="2BE4A81E" w14:textId="77777777" w:rsidR="00410B9C" w:rsidRDefault="00234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4229" w:type="dxa"/>
          </w:tcPr>
          <w:p w14:paraId="2BE4A81F" w14:textId="77777777" w:rsidR="00410B9C" w:rsidRDefault="00410B9C">
            <w:pPr>
              <w:pStyle w:val="TableParagraph"/>
            </w:pPr>
          </w:p>
        </w:tc>
        <w:tc>
          <w:tcPr>
            <w:tcW w:w="4783" w:type="dxa"/>
          </w:tcPr>
          <w:p w14:paraId="2BE4A820" w14:textId="77777777" w:rsidR="00410B9C" w:rsidRDefault="00410B9C">
            <w:pPr>
              <w:pStyle w:val="TableParagraph"/>
            </w:pPr>
          </w:p>
        </w:tc>
      </w:tr>
    </w:tbl>
    <w:p w14:paraId="2BE4A822" w14:textId="77777777" w:rsidR="00410B9C" w:rsidRDefault="00410B9C">
      <w:pPr>
        <w:pStyle w:val="BodyText"/>
        <w:rPr>
          <w:sz w:val="26"/>
        </w:rPr>
      </w:pPr>
    </w:p>
    <w:p w14:paraId="2BE4A823" w14:textId="77777777" w:rsidR="00410B9C" w:rsidRDefault="00410B9C">
      <w:pPr>
        <w:pStyle w:val="BodyText"/>
        <w:spacing w:before="9"/>
        <w:rPr>
          <w:sz w:val="35"/>
        </w:rPr>
      </w:pPr>
    </w:p>
    <w:p w14:paraId="2BE4A824" w14:textId="77777777" w:rsidR="00410B9C" w:rsidRDefault="00234F7F">
      <w:pPr>
        <w:pStyle w:val="Heading1"/>
      </w:pPr>
      <w:r>
        <w:t>State</w:t>
      </w:r>
      <w:r>
        <w:rPr>
          <w:spacing w:val="-3"/>
        </w:rPr>
        <w:t xml:space="preserve"> </w:t>
      </w:r>
      <w:r>
        <w:rPr>
          <w:spacing w:val="-2"/>
        </w:rPr>
        <w:t>Signature</w:t>
      </w:r>
    </w:p>
    <w:p w14:paraId="2BE4A825" w14:textId="77777777" w:rsidR="00410B9C" w:rsidRDefault="00234F7F">
      <w:pPr>
        <w:tabs>
          <w:tab w:val="left" w:pos="4119"/>
          <w:tab w:val="left" w:pos="4599"/>
          <w:tab w:val="left" w:pos="5319"/>
          <w:tab w:val="left" w:pos="9819"/>
        </w:tabs>
        <w:spacing w:before="233"/>
        <w:ind w:left="220"/>
        <w:rPr>
          <w:sz w:val="24"/>
        </w:rPr>
      </w:pPr>
      <w:r>
        <w:rPr>
          <w:sz w:val="24"/>
        </w:rPr>
        <w:t xml:space="preserve">ACCEPTED: Date: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By: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BE4A826" w14:textId="77777777" w:rsidR="00410B9C" w:rsidRDefault="00234F7F">
      <w:pPr>
        <w:ind w:left="5320" w:right="1455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Honorable</w:t>
      </w:r>
      <w:r>
        <w:rPr>
          <w:spacing w:val="-10"/>
          <w:sz w:val="24"/>
        </w:rPr>
        <w:t xml:space="preserve"> </w:t>
      </w:r>
      <w:r>
        <w:rPr>
          <w:sz w:val="24"/>
        </w:rPr>
        <w:t>Jeffrey</w:t>
      </w:r>
      <w:r>
        <w:rPr>
          <w:spacing w:val="-11"/>
          <w:sz w:val="24"/>
        </w:rPr>
        <w:t xml:space="preserve"> </w:t>
      </w:r>
      <w:r>
        <w:rPr>
          <w:sz w:val="24"/>
        </w:rPr>
        <w:t>W.</w:t>
      </w:r>
      <w:r>
        <w:rPr>
          <w:spacing w:val="-9"/>
          <w:sz w:val="24"/>
        </w:rPr>
        <w:t xml:space="preserve"> </w:t>
      </w:r>
      <w:r>
        <w:rPr>
          <w:sz w:val="24"/>
        </w:rPr>
        <w:t>Bullock Secretary of State</w:t>
      </w:r>
    </w:p>
    <w:p w14:paraId="2BE4A827" w14:textId="77777777" w:rsidR="00410B9C" w:rsidRDefault="00234F7F">
      <w:pPr>
        <w:ind w:left="5320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Delaware</w:t>
      </w:r>
    </w:p>
    <w:p w14:paraId="2BE4A828" w14:textId="77777777" w:rsidR="00410B9C" w:rsidRDefault="00410B9C">
      <w:pPr>
        <w:pStyle w:val="BodyText"/>
        <w:rPr>
          <w:sz w:val="26"/>
        </w:rPr>
      </w:pPr>
    </w:p>
    <w:p w14:paraId="2BE4A829" w14:textId="77777777" w:rsidR="00410B9C" w:rsidRDefault="00410B9C">
      <w:pPr>
        <w:pStyle w:val="BodyText"/>
        <w:rPr>
          <w:sz w:val="26"/>
        </w:rPr>
      </w:pPr>
    </w:p>
    <w:p w14:paraId="2BE4A878" w14:textId="68842F01" w:rsidR="00BC4FA3" w:rsidRDefault="00234F7F" w:rsidP="002E2FAD">
      <w:pPr>
        <w:spacing w:before="161"/>
        <w:ind w:left="216" w:right="631"/>
      </w:pPr>
      <w:r>
        <w:rPr>
          <w:sz w:val="24"/>
        </w:rPr>
        <w:t xml:space="preserve">Send via e-mail to </w:t>
      </w:r>
      <w:hyperlink r:id="rId7">
        <w:r>
          <w:rPr>
            <w:color w:val="0000FF"/>
            <w:sz w:val="24"/>
            <w:u w:val="single" w:color="0000FF"/>
          </w:rPr>
          <w:t>SOS.VDA@delaware.gov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a PDF copy of Form VDA-1</w:t>
      </w:r>
      <w:r w:rsidR="002E2FAD">
        <w:rPr>
          <w:sz w:val="24"/>
        </w:rPr>
        <w:t>M&amp;A</w:t>
      </w:r>
      <w:r>
        <w:rPr>
          <w:sz w:val="24"/>
        </w:rPr>
        <w:t xml:space="preserve"> which has been executed by an officer of the company.</w:t>
      </w:r>
    </w:p>
    <w:sectPr w:rsidR="00BC4FA3" w:rsidSect="00D20225">
      <w:footerReference w:type="default" r:id="rId8"/>
      <w:pgSz w:w="12240" w:h="15840"/>
      <w:pgMar w:top="1280" w:right="600" w:bottom="280" w:left="6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4CFD" w14:textId="77777777" w:rsidR="00454928" w:rsidRDefault="00454928">
      <w:r>
        <w:separator/>
      </w:r>
    </w:p>
  </w:endnote>
  <w:endnote w:type="continuationSeparator" w:id="0">
    <w:p w14:paraId="5351A989" w14:textId="77777777" w:rsidR="00454928" w:rsidRDefault="0045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1A0" w14:textId="3BE63C3B" w:rsidR="00CE3716" w:rsidRPr="004A0D95" w:rsidRDefault="00CE3716" w:rsidP="00CE3716">
    <w:pPr>
      <w:pStyle w:val="Footer"/>
      <w:jc w:val="center"/>
      <w:rPr>
        <w:i/>
      </w:rPr>
    </w:pPr>
    <w:r w:rsidRPr="004A0D95">
      <w:rPr>
        <w:i/>
      </w:rPr>
      <w:t>Form VDA-</w:t>
    </w:r>
    <w:r>
      <w:rPr>
        <w:i/>
      </w:rPr>
      <w:t>1M&amp;A</w:t>
    </w:r>
    <w:r w:rsidRPr="004A0D95">
      <w:rPr>
        <w:i/>
      </w:rPr>
      <w:t xml:space="preserve">, </w:t>
    </w:r>
    <w:r>
      <w:rPr>
        <w:i/>
      </w:rPr>
      <w:t>January 2, 2024</w:t>
    </w:r>
  </w:p>
  <w:p w14:paraId="5D510ABD" w14:textId="77777777" w:rsidR="00CE3716" w:rsidRPr="004A0D95" w:rsidRDefault="00CE3716" w:rsidP="00CE3716">
    <w:pPr>
      <w:pStyle w:val="Footer"/>
      <w:jc w:val="center"/>
      <w:rPr>
        <w:i/>
      </w:rPr>
    </w:pPr>
    <w:r w:rsidRPr="004A0D95">
      <w:rPr>
        <w:i/>
      </w:rPr>
      <w:t xml:space="preserve">Page </w:t>
    </w:r>
    <w:r w:rsidRPr="004A0D95">
      <w:rPr>
        <w:i/>
      </w:rPr>
      <w:fldChar w:fldCharType="begin"/>
    </w:r>
    <w:r w:rsidRPr="004A0D95">
      <w:rPr>
        <w:i/>
      </w:rPr>
      <w:instrText xml:space="preserve"> PAGE  \* Arabic  \* MERGEFORMAT </w:instrText>
    </w:r>
    <w:r w:rsidRPr="004A0D95">
      <w:rPr>
        <w:i/>
      </w:rPr>
      <w:fldChar w:fldCharType="separate"/>
    </w:r>
    <w:r>
      <w:rPr>
        <w:i/>
      </w:rPr>
      <w:t>1</w:t>
    </w:r>
    <w:r w:rsidRPr="004A0D95">
      <w:rPr>
        <w:i/>
      </w:rPr>
      <w:fldChar w:fldCharType="end"/>
    </w:r>
  </w:p>
  <w:p w14:paraId="3BB2FF63" w14:textId="6D1D59A6" w:rsidR="008A621F" w:rsidRDefault="008A621F">
    <w:pPr>
      <w:pStyle w:val="Footer"/>
    </w:pPr>
  </w:p>
  <w:p w14:paraId="2BE4A879" w14:textId="77777777" w:rsidR="00410B9C" w:rsidRDefault="00410B9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3BF1" w14:textId="77777777" w:rsidR="00454928" w:rsidRDefault="00454928">
      <w:r>
        <w:separator/>
      </w:r>
    </w:p>
  </w:footnote>
  <w:footnote w:type="continuationSeparator" w:id="0">
    <w:p w14:paraId="4DFF10E1" w14:textId="77777777" w:rsidR="00454928" w:rsidRDefault="0045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60408"/>
    <w:multiLevelType w:val="hybridMultilevel"/>
    <w:tmpl w:val="D2325D02"/>
    <w:lvl w:ilvl="0" w:tplc="99306448">
      <w:start w:val="1"/>
      <w:numFmt w:val="lowerRoman"/>
      <w:lvlText w:val="(%1)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21C7C80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2" w:tplc="D7821E00">
      <w:numFmt w:val="bullet"/>
      <w:lvlText w:val="•"/>
      <w:lvlJc w:val="left"/>
      <w:pPr>
        <w:ind w:left="3472" w:hanging="720"/>
      </w:pPr>
      <w:rPr>
        <w:rFonts w:hint="default"/>
        <w:lang w:val="en-US" w:eastAsia="en-US" w:bidi="ar-SA"/>
      </w:rPr>
    </w:lvl>
    <w:lvl w:ilvl="3" w:tplc="2C9E0A8E">
      <w:numFmt w:val="bullet"/>
      <w:lvlText w:val="•"/>
      <w:lvlJc w:val="left"/>
      <w:pPr>
        <w:ind w:left="4408" w:hanging="720"/>
      </w:pPr>
      <w:rPr>
        <w:rFonts w:hint="default"/>
        <w:lang w:val="en-US" w:eastAsia="en-US" w:bidi="ar-SA"/>
      </w:rPr>
    </w:lvl>
    <w:lvl w:ilvl="4" w:tplc="63FADCCC">
      <w:numFmt w:val="bullet"/>
      <w:lvlText w:val="•"/>
      <w:lvlJc w:val="left"/>
      <w:pPr>
        <w:ind w:left="5344" w:hanging="720"/>
      </w:pPr>
      <w:rPr>
        <w:rFonts w:hint="default"/>
        <w:lang w:val="en-US" w:eastAsia="en-US" w:bidi="ar-SA"/>
      </w:rPr>
    </w:lvl>
    <w:lvl w:ilvl="5" w:tplc="0D12DAA2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ar-SA"/>
      </w:rPr>
    </w:lvl>
    <w:lvl w:ilvl="6" w:tplc="17509816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 w:tplc="13D634FA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  <w:lvl w:ilvl="8" w:tplc="E4AAD624">
      <w:numFmt w:val="bullet"/>
      <w:lvlText w:val="•"/>
      <w:lvlJc w:val="left"/>
      <w:pPr>
        <w:ind w:left="9088" w:hanging="720"/>
      </w:pPr>
      <w:rPr>
        <w:rFonts w:hint="default"/>
        <w:lang w:val="en-US" w:eastAsia="en-US" w:bidi="ar-SA"/>
      </w:rPr>
    </w:lvl>
  </w:abstractNum>
  <w:num w:numId="1" w16cid:durableId="16566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9C"/>
    <w:rsid w:val="000101FE"/>
    <w:rsid w:val="00010AEB"/>
    <w:rsid w:val="00016885"/>
    <w:rsid w:val="00023CF5"/>
    <w:rsid w:val="00065C3F"/>
    <w:rsid w:val="000826E4"/>
    <w:rsid w:val="00097463"/>
    <w:rsid w:val="000C2218"/>
    <w:rsid w:val="000D5604"/>
    <w:rsid w:val="000E094D"/>
    <w:rsid w:val="000F1773"/>
    <w:rsid w:val="00120971"/>
    <w:rsid w:val="001227A0"/>
    <w:rsid w:val="00130AAE"/>
    <w:rsid w:val="001E07AE"/>
    <w:rsid w:val="001F0C30"/>
    <w:rsid w:val="00234F7F"/>
    <w:rsid w:val="0024157F"/>
    <w:rsid w:val="00244A19"/>
    <w:rsid w:val="00245768"/>
    <w:rsid w:val="0025698E"/>
    <w:rsid w:val="0029182F"/>
    <w:rsid w:val="002E2FAD"/>
    <w:rsid w:val="00316AFC"/>
    <w:rsid w:val="0032123A"/>
    <w:rsid w:val="00354162"/>
    <w:rsid w:val="00392641"/>
    <w:rsid w:val="00393374"/>
    <w:rsid w:val="003E6595"/>
    <w:rsid w:val="003E7D6B"/>
    <w:rsid w:val="00410B9C"/>
    <w:rsid w:val="00454928"/>
    <w:rsid w:val="0047477B"/>
    <w:rsid w:val="0049558C"/>
    <w:rsid w:val="004A529A"/>
    <w:rsid w:val="004B2F3C"/>
    <w:rsid w:val="004C6A88"/>
    <w:rsid w:val="004E334E"/>
    <w:rsid w:val="00567080"/>
    <w:rsid w:val="0058511A"/>
    <w:rsid w:val="00587FA4"/>
    <w:rsid w:val="005A6321"/>
    <w:rsid w:val="005C4C99"/>
    <w:rsid w:val="006169E9"/>
    <w:rsid w:val="00683210"/>
    <w:rsid w:val="00687D18"/>
    <w:rsid w:val="006A4C23"/>
    <w:rsid w:val="006A727E"/>
    <w:rsid w:val="006B5797"/>
    <w:rsid w:val="006C0FD2"/>
    <w:rsid w:val="00744DFB"/>
    <w:rsid w:val="0075140C"/>
    <w:rsid w:val="00752561"/>
    <w:rsid w:val="00753866"/>
    <w:rsid w:val="007771FC"/>
    <w:rsid w:val="007816C5"/>
    <w:rsid w:val="00787084"/>
    <w:rsid w:val="0084507B"/>
    <w:rsid w:val="00870A37"/>
    <w:rsid w:val="008754C1"/>
    <w:rsid w:val="00885286"/>
    <w:rsid w:val="00896D94"/>
    <w:rsid w:val="008A1C12"/>
    <w:rsid w:val="008A1C60"/>
    <w:rsid w:val="008A42A6"/>
    <w:rsid w:val="008A621F"/>
    <w:rsid w:val="008E1A87"/>
    <w:rsid w:val="008E3D4C"/>
    <w:rsid w:val="008F56E5"/>
    <w:rsid w:val="009006F3"/>
    <w:rsid w:val="009A0DCF"/>
    <w:rsid w:val="009C0F07"/>
    <w:rsid w:val="009E65A8"/>
    <w:rsid w:val="00A16C6F"/>
    <w:rsid w:val="00A5162F"/>
    <w:rsid w:val="00A54B88"/>
    <w:rsid w:val="00AF042E"/>
    <w:rsid w:val="00AF092C"/>
    <w:rsid w:val="00AF24A1"/>
    <w:rsid w:val="00B11FE8"/>
    <w:rsid w:val="00B12228"/>
    <w:rsid w:val="00B12458"/>
    <w:rsid w:val="00B12489"/>
    <w:rsid w:val="00B12DE7"/>
    <w:rsid w:val="00B15400"/>
    <w:rsid w:val="00B2150C"/>
    <w:rsid w:val="00B300EE"/>
    <w:rsid w:val="00B71465"/>
    <w:rsid w:val="00B85565"/>
    <w:rsid w:val="00BA0F89"/>
    <w:rsid w:val="00BC4FA3"/>
    <w:rsid w:val="00C03598"/>
    <w:rsid w:val="00C728E4"/>
    <w:rsid w:val="00C95E49"/>
    <w:rsid w:val="00CB413B"/>
    <w:rsid w:val="00CB6992"/>
    <w:rsid w:val="00CE3716"/>
    <w:rsid w:val="00D0222E"/>
    <w:rsid w:val="00D03A16"/>
    <w:rsid w:val="00D20225"/>
    <w:rsid w:val="00D2261F"/>
    <w:rsid w:val="00D72A95"/>
    <w:rsid w:val="00DB144D"/>
    <w:rsid w:val="00DB3357"/>
    <w:rsid w:val="00DB42CF"/>
    <w:rsid w:val="00DC2E27"/>
    <w:rsid w:val="00DE4483"/>
    <w:rsid w:val="00DE5E8C"/>
    <w:rsid w:val="00DF3F6D"/>
    <w:rsid w:val="00E02CE0"/>
    <w:rsid w:val="00E02DB1"/>
    <w:rsid w:val="00E3081D"/>
    <w:rsid w:val="00E41D73"/>
    <w:rsid w:val="00EA1077"/>
    <w:rsid w:val="00EE3B94"/>
    <w:rsid w:val="00EF2EA2"/>
    <w:rsid w:val="00F14927"/>
    <w:rsid w:val="00F178C4"/>
    <w:rsid w:val="00F56868"/>
    <w:rsid w:val="00FB5A59"/>
    <w:rsid w:val="00FB7487"/>
    <w:rsid w:val="00FC7F62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4A7D6"/>
  <w15:docId w15:val="{C7B7049F-620A-4842-B7B2-8407A46A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9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DE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162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S.VDA@delaw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  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Carroll, Steven L (DOS)</dc:creator>
  <cp:lastModifiedBy>McKenzie, Kaitlin A.</cp:lastModifiedBy>
  <cp:revision>2</cp:revision>
  <cp:lastPrinted>2023-12-05T01:32:00Z</cp:lastPrinted>
  <dcterms:created xsi:type="dcterms:W3CDTF">2024-01-18T15:54:00Z</dcterms:created>
  <dcterms:modified xsi:type="dcterms:W3CDTF">2024-01-18T15:54:00Z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D:20180925200549</vt:lpwstr>
  </property>
</Properties>
</file>