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A7D6" w14:textId="5040D04C" w:rsidR="00410B9C" w:rsidRDefault="00234F7F">
      <w:pPr>
        <w:spacing w:before="68"/>
        <w:ind w:left="220"/>
        <w:jc w:val="both"/>
        <w:rPr>
          <w:sz w:val="24"/>
        </w:rPr>
      </w:pP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VDA-</w:t>
      </w:r>
      <w:r>
        <w:rPr>
          <w:spacing w:val="-10"/>
          <w:sz w:val="24"/>
        </w:rPr>
        <w:t>1</w:t>
      </w:r>
      <w:r w:rsidR="0029182F">
        <w:rPr>
          <w:spacing w:val="-10"/>
          <w:sz w:val="24"/>
        </w:rPr>
        <w:t>M</w:t>
      </w:r>
      <w:r w:rsidR="00B12458">
        <w:rPr>
          <w:spacing w:val="-10"/>
          <w:sz w:val="24"/>
        </w:rPr>
        <w:t>&amp;A</w:t>
      </w:r>
      <w:r w:rsidR="00B1579B">
        <w:rPr>
          <w:spacing w:val="-10"/>
          <w:sz w:val="24"/>
        </w:rPr>
        <w:t xml:space="preserve"> Instructions</w:t>
      </w:r>
    </w:p>
    <w:p w14:paraId="2BE4A7D7" w14:textId="77777777" w:rsidR="00410B9C" w:rsidRDefault="00410B9C">
      <w:pPr>
        <w:pStyle w:val="BodyText"/>
        <w:spacing w:before="8"/>
        <w:rPr>
          <w:sz w:val="21"/>
        </w:rPr>
      </w:pPr>
    </w:p>
    <w:p w14:paraId="2BE4A7D8" w14:textId="2BDD34E2" w:rsidR="00410B9C" w:rsidRDefault="006C0FD2">
      <w:pPr>
        <w:spacing w:line="247" w:lineRule="auto"/>
        <w:ind w:left="1796" w:right="2054" w:firstLine="1"/>
        <w:jc w:val="center"/>
        <w:rPr>
          <w:b/>
          <w:sz w:val="23"/>
        </w:rPr>
      </w:pPr>
      <w:r>
        <w:rPr>
          <w:b/>
          <w:sz w:val="23"/>
        </w:rPr>
        <w:t>NOTIFICATION OF</w:t>
      </w:r>
      <w:r w:rsidR="00B15400">
        <w:rPr>
          <w:b/>
          <w:sz w:val="23"/>
        </w:rPr>
        <w:t xml:space="preserve"> MERGER OR ACQUISITION AND </w:t>
      </w:r>
      <w:r w:rsidR="00234F7F">
        <w:rPr>
          <w:b/>
          <w:sz w:val="23"/>
        </w:rPr>
        <w:t>DISCLOSURE AND NOTICE OF INTENT TO VOLUNTARILY COMPLY</w:t>
      </w:r>
      <w:r w:rsidR="00234F7F">
        <w:rPr>
          <w:b/>
          <w:spacing w:val="-6"/>
          <w:sz w:val="23"/>
        </w:rPr>
        <w:t xml:space="preserve"> </w:t>
      </w:r>
      <w:r w:rsidR="00234F7F">
        <w:rPr>
          <w:b/>
          <w:sz w:val="23"/>
        </w:rPr>
        <w:t>WITH</w:t>
      </w:r>
      <w:r w:rsidR="00234F7F">
        <w:rPr>
          <w:b/>
          <w:spacing w:val="-6"/>
          <w:sz w:val="23"/>
        </w:rPr>
        <w:t xml:space="preserve"> </w:t>
      </w:r>
      <w:r w:rsidR="00234F7F">
        <w:rPr>
          <w:b/>
          <w:sz w:val="23"/>
        </w:rPr>
        <w:t>ABANDONED</w:t>
      </w:r>
      <w:r w:rsidR="00234F7F">
        <w:rPr>
          <w:b/>
          <w:spacing w:val="-6"/>
          <w:sz w:val="23"/>
        </w:rPr>
        <w:t xml:space="preserve"> </w:t>
      </w:r>
      <w:r w:rsidR="00234F7F">
        <w:rPr>
          <w:b/>
          <w:sz w:val="23"/>
        </w:rPr>
        <w:t>OR</w:t>
      </w:r>
      <w:r w:rsidR="00234F7F">
        <w:rPr>
          <w:b/>
          <w:spacing w:val="-6"/>
          <w:sz w:val="23"/>
        </w:rPr>
        <w:t xml:space="preserve"> </w:t>
      </w:r>
      <w:r w:rsidR="00234F7F">
        <w:rPr>
          <w:b/>
          <w:sz w:val="23"/>
        </w:rPr>
        <w:t>UNCLAIMED</w:t>
      </w:r>
      <w:r w:rsidR="00234F7F">
        <w:rPr>
          <w:b/>
          <w:spacing w:val="-6"/>
          <w:sz w:val="23"/>
        </w:rPr>
        <w:t xml:space="preserve"> </w:t>
      </w:r>
      <w:r w:rsidR="00234F7F">
        <w:rPr>
          <w:b/>
          <w:sz w:val="23"/>
        </w:rPr>
        <w:t>PROPERTY</w:t>
      </w:r>
      <w:r w:rsidR="00234F7F">
        <w:rPr>
          <w:b/>
          <w:spacing w:val="-6"/>
          <w:sz w:val="23"/>
        </w:rPr>
        <w:t xml:space="preserve"> </w:t>
      </w:r>
      <w:r w:rsidR="00234F7F">
        <w:rPr>
          <w:b/>
          <w:sz w:val="23"/>
        </w:rPr>
        <w:t>LAW</w:t>
      </w:r>
    </w:p>
    <w:p w14:paraId="2BE4A7D9" w14:textId="359698D7" w:rsidR="00410B9C" w:rsidRDefault="00234F7F" w:rsidP="00E3081D">
      <w:pPr>
        <w:tabs>
          <w:tab w:val="left" w:pos="7470"/>
        </w:tabs>
        <w:spacing w:before="3"/>
        <w:ind w:left="2880" w:right="2950"/>
        <w:jc w:val="center"/>
        <w:rPr>
          <w:b/>
          <w:sz w:val="23"/>
        </w:rPr>
      </w:pPr>
      <w:r>
        <w:rPr>
          <w:b/>
          <w:sz w:val="23"/>
        </w:rPr>
        <w:t>PURSUANT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TO 12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  <w:u w:val="thick"/>
        </w:rPr>
        <w:t>Del.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C.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§</w:t>
      </w:r>
      <w:r w:rsidR="0032123A">
        <w:rPr>
          <w:b/>
          <w:sz w:val="23"/>
        </w:rPr>
        <w:t>§ 1147</w:t>
      </w:r>
      <w:r w:rsidR="00E3081D">
        <w:rPr>
          <w:b/>
          <w:sz w:val="23"/>
        </w:rPr>
        <w:t xml:space="preserve"> AND</w:t>
      </w:r>
      <w:r>
        <w:rPr>
          <w:b/>
          <w:sz w:val="23"/>
        </w:rPr>
        <w:t xml:space="preserve"> </w:t>
      </w:r>
      <w:r>
        <w:rPr>
          <w:b/>
          <w:spacing w:val="-4"/>
          <w:sz w:val="23"/>
        </w:rPr>
        <w:t>1173</w:t>
      </w:r>
    </w:p>
    <w:p w14:paraId="2BE4A829" w14:textId="77777777" w:rsidR="00410B9C" w:rsidRDefault="00410B9C">
      <w:pPr>
        <w:pStyle w:val="BodyText"/>
        <w:rPr>
          <w:sz w:val="26"/>
        </w:rPr>
      </w:pPr>
    </w:p>
    <w:p w14:paraId="487B74C1" w14:textId="46E72A05" w:rsidR="006C5C6F" w:rsidRDefault="006C5C6F" w:rsidP="00863BBB">
      <w:pPr>
        <w:spacing w:before="161"/>
        <w:ind w:left="216" w:right="631"/>
        <w:rPr>
          <w:sz w:val="24"/>
        </w:rPr>
      </w:pPr>
      <w:r>
        <w:rPr>
          <w:sz w:val="24"/>
        </w:rPr>
        <w:t>Instructions</w:t>
      </w:r>
    </w:p>
    <w:p w14:paraId="4A5C4423" w14:textId="5A88D73A" w:rsidR="00423F0D" w:rsidRDefault="000B3546" w:rsidP="00863BBB">
      <w:pPr>
        <w:spacing w:before="161"/>
        <w:ind w:left="216" w:right="631"/>
      </w:pPr>
      <w:r>
        <w:t xml:space="preserve">Under 1173 the </w:t>
      </w:r>
      <w:r w:rsidR="00E729F9">
        <w:t>Secretary of State</w:t>
      </w:r>
      <w:r>
        <w:t xml:space="preserve"> </w:t>
      </w:r>
      <w:r w:rsidR="00423F0D">
        <w:t xml:space="preserve">(“State”) </w:t>
      </w:r>
      <w:r>
        <w:t>may resolve and compromise claims for property otherwise owing to the state escheator under this chapter if a holder of such property voluntarily discloses to the</w:t>
      </w:r>
      <w:r w:rsidR="00E729F9">
        <w:t xml:space="preserve"> Secretary of State</w:t>
      </w:r>
      <w:r>
        <w:t xml:space="preserve"> such property</w:t>
      </w:r>
      <w:r w:rsidR="0030410C">
        <w:t xml:space="preserve"> and may make rules and regulations as necessary to enforce same.</w:t>
      </w:r>
    </w:p>
    <w:p w14:paraId="4A729158" w14:textId="0D4BF3AE" w:rsidR="00423F0D" w:rsidRDefault="00423F0D" w:rsidP="00863BBB">
      <w:pPr>
        <w:spacing w:before="161"/>
        <w:ind w:left="270" w:right="631"/>
      </w:pPr>
      <w:r>
        <w:t xml:space="preserve">The Purchaser is responsible for enrollment and the State expects </w:t>
      </w:r>
      <w:r w:rsidR="000276C4">
        <w:t>Seller to cooperate</w:t>
      </w:r>
      <w:r w:rsidR="00F1591E">
        <w:t xml:space="preserve"> in the collection and production of information and documentation</w:t>
      </w:r>
      <w:r w:rsidR="00452316">
        <w:t xml:space="preserve">.  If Seller does not cooperate, Purchaser may still enroll in the process and the State will </w:t>
      </w:r>
      <w:r w:rsidR="00B15CB8">
        <w:t>base the Escrow</w:t>
      </w:r>
      <w:r w:rsidR="00DF39F4">
        <w:t xml:space="preserve"> amount on publicly available information and industry indicators, and the Escrow amount will reflect this level of uncertainty.  </w:t>
      </w:r>
    </w:p>
    <w:p w14:paraId="0167C368" w14:textId="08A3A25C" w:rsidR="00850A30" w:rsidRDefault="00850A30" w:rsidP="00863BBB">
      <w:pPr>
        <w:spacing w:before="161"/>
        <w:ind w:left="270" w:right="631"/>
      </w:pPr>
      <w:r>
        <w:t>The information and documentation requested to compute the Escrow</w:t>
      </w:r>
      <w:r w:rsidR="00591EF8">
        <w:t>, or cap on successor liability, are contained in the attached Excel document titled “Delaware AUP M&amp;A VDA.”</w:t>
      </w:r>
      <w:r w:rsidR="00B66EC1">
        <w:t xml:space="preserve">  Purchaser, in combination with Target, and Seller, </w:t>
      </w:r>
      <w:r w:rsidR="00E87F97">
        <w:t xml:space="preserve">shall </w:t>
      </w:r>
      <w:r w:rsidR="00B66EC1">
        <w:t xml:space="preserve">make a good faith effort to provide </w:t>
      </w:r>
      <w:r w:rsidR="00E87F97">
        <w:t>the</w:t>
      </w:r>
      <w:r w:rsidR="00B66EC1">
        <w:t xml:space="preserve"> information and documentation </w:t>
      </w:r>
      <w:r w:rsidR="00E87F97">
        <w:t xml:space="preserve">requested </w:t>
      </w:r>
      <w:r w:rsidR="00B66EC1">
        <w:t xml:space="preserve">as possible in a timely manner, this will allow the State to compute the most </w:t>
      </w:r>
      <w:r w:rsidR="00BF7F76">
        <w:t>tailored Escrow amount.</w:t>
      </w:r>
    </w:p>
    <w:p w14:paraId="4FFCB77B" w14:textId="77777777" w:rsidR="00E87F97" w:rsidRDefault="00E87F97" w:rsidP="00E87F97">
      <w:pPr>
        <w:pStyle w:val="BodyText"/>
        <w:ind w:left="219" w:right="119"/>
      </w:pPr>
    </w:p>
    <w:p w14:paraId="170D80EB" w14:textId="2F57B29F" w:rsidR="00BF7F76" w:rsidRDefault="00E87F97" w:rsidP="00F06B16">
      <w:pPr>
        <w:pStyle w:val="BodyText"/>
        <w:ind w:left="219" w:right="119"/>
      </w:pPr>
      <w:r w:rsidRPr="003E6595">
        <w:t>S</w:t>
      </w:r>
      <w:r>
        <w:t>tate</w:t>
      </w:r>
      <w:r w:rsidRPr="003E6595">
        <w:t xml:space="preserve"> agrees to review </w:t>
      </w:r>
      <w:r>
        <w:t>Target’s</w:t>
      </w:r>
      <w:r w:rsidRPr="003E6595">
        <w:t xml:space="preserve"> information and documentation provided by </w:t>
      </w:r>
      <w:r>
        <w:t>Purchaser</w:t>
      </w:r>
      <w:r w:rsidRPr="003E6595">
        <w:t xml:space="preserve"> </w:t>
      </w:r>
      <w:r>
        <w:t>and will issue an Establishment of Escrow Amount Notice as soon as practicable.  Provided this Form VDA-1M&amp;A and substantial information and documentation pursuant to the VDA-1M&amp;A- Instructions is submitted at least thirty days before Closing Date, an Establishment of Escrow Amount Notice will be issued at least ten days before Closing Date.</w:t>
      </w:r>
    </w:p>
    <w:p w14:paraId="5299D9F1" w14:textId="3F6BB599" w:rsidR="000B3546" w:rsidRDefault="003971D0" w:rsidP="003971D0">
      <w:pPr>
        <w:spacing w:before="161"/>
        <w:ind w:left="270" w:right="631"/>
      </w:pPr>
      <w:r>
        <w:t xml:space="preserve">If Purchaser does not acquire Target for any reason, the Purchaser is obligated to notify the State in writing.  </w:t>
      </w:r>
      <w:r w:rsidR="000B3546">
        <w:t xml:space="preserve">In this case the </w:t>
      </w:r>
      <w:r>
        <w:t>enrollee</w:t>
      </w:r>
      <w:r w:rsidR="000B3546">
        <w:t xml:space="preserve"> will be removed by the </w:t>
      </w:r>
      <w:r>
        <w:t>State</w:t>
      </w:r>
      <w:r w:rsidR="000B3546">
        <w:t xml:space="preserve"> “NOT for failure to work in good faith to complete the program” such that 1173(e)(4) is not triggered and </w:t>
      </w:r>
      <w:r>
        <w:t>Target</w:t>
      </w:r>
      <w:r w:rsidR="000B3546">
        <w:t xml:space="preserve"> would still be</w:t>
      </w:r>
      <w:r>
        <w:t xml:space="preserve"> eligible for a future Delaware Voluntary Disclosure Agreement.</w:t>
      </w:r>
    </w:p>
    <w:p w14:paraId="76D7A21A" w14:textId="77777777" w:rsidR="004C2FBD" w:rsidRPr="004C2FBD" w:rsidRDefault="004C2FBD" w:rsidP="004C2FBD">
      <w:pPr>
        <w:widowControl/>
        <w:autoSpaceDE/>
        <w:autoSpaceDN/>
        <w:rPr>
          <w:rFonts w:ascii="Calibri" w:hAnsi="Calibri" w:cs="Calibri"/>
        </w:rPr>
      </w:pPr>
      <w:r w:rsidRPr="004C2FBD">
        <w:rPr>
          <w:rFonts w:asciiTheme="minorHAnsi" w:hAnsiTheme="minorHAnsi"/>
        </w:rPr>
        <w:object w:dxaOrig="1546" w:dyaOrig="1001" w14:anchorId="7EC56C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50.25pt" o:ole="">
            <v:imagedata r:id="rId7" o:title=""/>
          </v:shape>
          <o:OLEObject Type="Embed" ProgID="Excel.Sheet.12" ShapeID="_x0000_i1029" DrawAspect="Icon" ObjectID="_1772630224" r:id="rId8"/>
        </w:object>
      </w:r>
    </w:p>
    <w:p w14:paraId="731D9F80" w14:textId="768278BA" w:rsidR="000B3546" w:rsidRPr="000B3546" w:rsidRDefault="000B3546" w:rsidP="000B3546">
      <w:pPr>
        <w:spacing w:before="161"/>
        <w:ind w:right="631"/>
        <w:rPr>
          <w:sz w:val="24"/>
        </w:rPr>
      </w:pPr>
    </w:p>
    <w:p w14:paraId="7CB70576" w14:textId="77777777" w:rsidR="006C5C6F" w:rsidRDefault="006C5C6F" w:rsidP="002E2FAD">
      <w:pPr>
        <w:spacing w:before="161"/>
        <w:ind w:left="216" w:right="631"/>
        <w:rPr>
          <w:sz w:val="24"/>
        </w:rPr>
      </w:pPr>
    </w:p>
    <w:p w14:paraId="2BE4A878" w14:textId="6B86BD67" w:rsidR="00BC4FA3" w:rsidRDefault="006C5C6F" w:rsidP="002E2FAD">
      <w:pPr>
        <w:spacing w:before="161"/>
        <w:ind w:left="216" w:right="631"/>
      </w:pPr>
      <w:r>
        <w:rPr>
          <w:sz w:val="24"/>
        </w:rPr>
        <w:t xml:space="preserve">Questions </w:t>
      </w:r>
      <w:r w:rsidR="003971D0">
        <w:rPr>
          <w:sz w:val="24"/>
        </w:rPr>
        <w:t>and written communication may</w:t>
      </w:r>
      <w:r>
        <w:rPr>
          <w:sz w:val="24"/>
        </w:rPr>
        <w:t xml:space="preserve"> be sent</w:t>
      </w:r>
      <w:r w:rsidR="00234F7F">
        <w:rPr>
          <w:sz w:val="24"/>
        </w:rPr>
        <w:t xml:space="preserve"> via e-mail to </w:t>
      </w:r>
      <w:hyperlink r:id="rId9">
        <w:r w:rsidR="00234F7F">
          <w:rPr>
            <w:color w:val="0000FF"/>
            <w:sz w:val="24"/>
            <w:u w:val="single" w:color="0000FF"/>
          </w:rPr>
          <w:t>SOS.VDA@delaware.gov</w:t>
        </w:r>
      </w:hyperlink>
      <w:r w:rsidR="00234F7F">
        <w:rPr>
          <w:sz w:val="24"/>
        </w:rPr>
        <w:t>.</w:t>
      </w:r>
    </w:p>
    <w:sectPr w:rsidR="00BC4FA3">
      <w:footerReference w:type="default" r:id="rId10"/>
      <w:pgSz w:w="12240" w:h="15840"/>
      <w:pgMar w:top="1280" w:right="60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50B1" w14:textId="77777777" w:rsidR="00BC4FA3" w:rsidRDefault="00BC4FA3">
      <w:r>
        <w:separator/>
      </w:r>
    </w:p>
  </w:endnote>
  <w:endnote w:type="continuationSeparator" w:id="0">
    <w:p w14:paraId="49926F8B" w14:textId="77777777" w:rsidR="00BC4FA3" w:rsidRDefault="00BC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A879" w14:textId="77777777" w:rsidR="00410B9C" w:rsidRDefault="00410B9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7435" w14:textId="77777777" w:rsidR="00BC4FA3" w:rsidRDefault="00BC4FA3">
      <w:r>
        <w:separator/>
      </w:r>
    </w:p>
  </w:footnote>
  <w:footnote w:type="continuationSeparator" w:id="0">
    <w:p w14:paraId="43FA4CF7" w14:textId="77777777" w:rsidR="00BC4FA3" w:rsidRDefault="00BC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0BC2"/>
    <w:multiLevelType w:val="hybridMultilevel"/>
    <w:tmpl w:val="69BA6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75470"/>
    <w:multiLevelType w:val="hybridMultilevel"/>
    <w:tmpl w:val="1AB85AEA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7E060408"/>
    <w:multiLevelType w:val="hybridMultilevel"/>
    <w:tmpl w:val="D2325D02"/>
    <w:lvl w:ilvl="0" w:tplc="99306448">
      <w:start w:val="1"/>
      <w:numFmt w:val="lowerRoman"/>
      <w:lvlText w:val="(%1)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21C7C80">
      <w:numFmt w:val="bullet"/>
      <w:lvlText w:val="•"/>
      <w:lvlJc w:val="left"/>
      <w:pPr>
        <w:ind w:left="2536" w:hanging="720"/>
      </w:pPr>
      <w:rPr>
        <w:rFonts w:hint="default"/>
        <w:lang w:val="en-US" w:eastAsia="en-US" w:bidi="ar-SA"/>
      </w:rPr>
    </w:lvl>
    <w:lvl w:ilvl="2" w:tplc="D7821E00">
      <w:numFmt w:val="bullet"/>
      <w:lvlText w:val="•"/>
      <w:lvlJc w:val="left"/>
      <w:pPr>
        <w:ind w:left="3472" w:hanging="720"/>
      </w:pPr>
      <w:rPr>
        <w:rFonts w:hint="default"/>
        <w:lang w:val="en-US" w:eastAsia="en-US" w:bidi="ar-SA"/>
      </w:rPr>
    </w:lvl>
    <w:lvl w:ilvl="3" w:tplc="2C9E0A8E">
      <w:numFmt w:val="bullet"/>
      <w:lvlText w:val="•"/>
      <w:lvlJc w:val="left"/>
      <w:pPr>
        <w:ind w:left="4408" w:hanging="720"/>
      </w:pPr>
      <w:rPr>
        <w:rFonts w:hint="default"/>
        <w:lang w:val="en-US" w:eastAsia="en-US" w:bidi="ar-SA"/>
      </w:rPr>
    </w:lvl>
    <w:lvl w:ilvl="4" w:tplc="63FADCCC">
      <w:numFmt w:val="bullet"/>
      <w:lvlText w:val="•"/>
      <w:lvlJc w:val="left"/>
      <w:pPr>
        <w:ind w:left="5344" w:hanging="720"/>
      </w:pPr>
      <w:rPr>
        <w:rFonts w:hint="default"/>
        <w:lang w:val="en-US" w:eastAsia="en-US" w:bidi="ar-SA"/>
      </w:rPr>
    </w:lvl>
    <w:lvl w:ilvl="5" w:tplc="0D12DAA2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ar-SA"/>
      </w:rPr>
    </w:lvl>
    <w:lvl w:ilvl="6" w:tplc="17509816">
      <w:numFmt w:val="bullet"/>
      <w:lvlText w:val="•"/>
      <w:lvlJc w:val="left"/>
      <w:pPr>
        <w:ind w:left="7216" w:hanging="720"/>
      </w:pPr>
      <w:rPr>
        <w:rFonts w:hint="default"/>
        <w:lang w:val="en-US" w:eastAsia="en-US" w:bidi="ar-SA"/>
      </w:rPr>
    </w:lvl>
    <w:lvl w:ilvl="7" w:tplc="13D634FA">
      <w:numFmt w:val="bullet"/>
      <w:lvlText w:val="•"/>
      <w:lvlJc w:val="left"/>
      <w:pPr>
        <w:ind w:left="8152" w:hanging="720"/>
      </w:pPr>
      <w:rPr>
        <w:rFonts w:hint="default"/>
        <w:lang w:val="en-US" w:eastAsia="en-US" w:bidi="ar-SA"/>
      </w:rPr>
    </w:lvl>
    <w:lvl w:ilvl="8" w:tplc="E4AAD624">
      <w:numFmt w:val="bullet"/>
      <w:lvlText w:val="•"/>
      <w:lvlJc w:val="left"/>
      <w:pPr>
        <w:ind w:left="9088" w:hanging="720"/>
      </w:pPr>
      <w:rPr>
        <w:rFonts w:hint="default"/>
        <w:lang w:val="en-US" w:eastAsia="en-US" w:bidi="ar-SA"/>
      </w:rPr>
    </w:lvl>
  </w:abstractNum>
  <w:num w:numId="1" w16cid:durableId="1656643517">
    <w:abstractNumId w:val="2"/>
  </w:num>
  <w:num w:numId="2" w16cid:durableId="932741049">
    <w:abstractNumId w:val="1"/>
  </w:num>
  <w:num w:numId="3" w16cid:durableId="119496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9C"/>
    <w:rsid w:val="000101FE"/>
    <w:rsid w:val="00010AEB"/>
    <w:rsid w:val="000276C4"/>
    <w:rsid w:val="00065C3F"/>
    <w:rsid w:val="00097463"/>
    <w:rsid w:val="000A5EFD"/>
    <w:rsid w:val="000B3546"/>
    <w:rsid w:val="000C2218"/>
    <w:rsid w:val="000D5604"/>
    <w:rsid w:val="000E094D"/>
    <w:rsid w:val="00110FB3"/>
    <w:rsid w:val="00120971"/>
    <w:rsid w:val="001227A0"/>
    <w:rsid w:val="00130AAE"/>
    <w:rsid w:val="00175224"/>
    <w:rsid w:val="001A6A28"/>
    <w:rsid w:val="001F0C30"/>
    <w:rsid w:val="00234F7F"/>
    <w:rsid w:val="00244A19"/>
    <w:rsid w:val="00245768"/>
    <w:rsid w:val="0029182F"/>
    <w:rsid w:val="002E2FAD"/>
    <w:rsid w:val="0030410C"/>
    <w:rsid w:val="0032123A"/>
    <w:rsid w:val="00392641"/>
    <w:rsid w:val="00393374"/>
    <w:rsid w:val="003971D0"/>
    <w:rsid w:val="003E6595"/>
    <w:rsid w:val="003E7D6B"/>
    <w:rsid w:val="00400A8A"/>
    <w:rsid w:val="00410B9C"/>
    <w:rsid w:val="00423F0D"/>
    <w:rsid w:val="0044345A"/>
    <w:rsid w:val="00452316"/>
    <w:rsid w:val="0049558C"/>
    <w:rsid w:val="004A529A"/>
    <w:rsid w:val="004B2F3C"/>
    <w:rsid w:val="004C2FBD"/>
    <w:rsid w:val="004D4691"/>
    <w:rsid w:val="00567080"/>
    <w:rsid w:val="00587FA4"/>
    <w:rsid w:val="00591EF8"/>
    <w:rsid w:val="005A6321"/>
    <w:rsid w:val="006169E9"/>
    <w:rsid w:val="00683210"/>
    <w:rsid w:val="00687D18"/>
    <w:rsid w:val="006A727E"/>
    <w:rsid w:val="006B5797"/>
    <w:rsid w:val="006C0FD2"/>
    <w:rsid w:val="006C5C6F"/>
    <w:rsid w:val="0075140C"/>
    <w:rsid w:val="00753866"/>
    <w:rsid w:val="007771FC"/>
    <w:rsid w:val="007816C5"/>
    <w:rsid w:val="00787084"/>
    <w:rsid w:val="0084507B"/>
    <w:rsid w:val="00850A30"/>
    <w:rsid w:val="00863BBB"/>
    <w:rsid w:val="00870A37"/>
    <w:rsid w:val="00885286"/>
    <w:rsid w:val="00896D94"/>
    <w:rsid w:val="008A1C12"/>
    <w:rsid w:val="008A1C60"/>
    <w:rsid w:val="008A42A6"/>
    <w:rsid w:val="008E3D4C"/>
    <w:rsid w:val="008F56E5"/>
    <w:rsid w:val="009006F3"/>
    <w:rsid w:val="009A0DCF"/>
    <w:rsid w:val="009C0F07"/>
    <w:rsid w:val="009E65A8"/>
    <w:rsid w:val="00A5162F"/>
    <w:rsid w:val="00AF042E"/>
    <w:rsid w:val="00AF092C"/>
    <w:rsid w:val="00B11FE8"/>
    <w:rsid w:val="00B12458"/>
    <w:rsid w:val="00B12489"/>
    <w:rsid w:val="00B12DE7"/>
    <w:rsid w:val="00B15400"/>
    <w:rsid w:val="00B1579B"/>
    <w:rsid w:val="00B15CB8"/>
    <w:rsid w:val="00B300EE"/>
    <w:rsid w:val="00B66EC1"/>
    <w:rsid w:val="00BC4FA3"/>
    <w:rsid w:val="00BF7F76"/>
    <w:rsid w:val="00C03598"/>
    <w:rsid w:val="00C45449"/>
    <w:rsid w:val="00C728E4"/>
    <w:rsid w:val="00C95E49"/>
    <w:rsid w:val="00CB413B"/>
    <w:rsid w:val="00CB6992"/>
    <w:rsid w:val="00CF4028"/>
    <w:rsid w:val="00D03A16"/>
    <w:rsid w:val="00D12703"/>
    <w:rsid w:val="00D2261F"/>
    <w:rsid w:val="00D72A95"/>
    <w:rsid w:val="00DB144D"/>
    <w:rsid w:val="00DB3357"/>
    <w:rsid w:val="00DB42CF"/>
    <w:rsid w:val="00DC2E27"/>
    <w:rsid w:val="00DE4483"/>
    <w:rsid w:val="00DE5E8C"/>
    <w:rsid w:val="00DF39F4"/>
    <w:rsid w:val="00DF3F6D"/>
    <w:rsid w:val="00E02CE0"/>
    <w:rsid w:val="00E02DB1"/>
    <w:rsid w:val="00E12034"/>
    <w:rsid w:val="00E3081D"/>
    <w:rsid w:val="00E41D73"/>
    <w:rsid w:val="00E729F9"/>
    <w:rsid w:val="00E87F97"/>
    <w:rsid w:val="00EA1077"/>
    <w:rsid w:val="00EE3B94"/>
    <w:rsid w:val="00EF2EA2"/>
    <w:rsid w:val="00F06B16"/>
    <w:rsid w:val="00F14927"/>
    <w:rsid w:val="00F1591E"/>
    <w:rsid w:val="00F178C4"/>
    <w:rsid w:val="00F44DC4"/>
    <w:rsid w:val="00FB5A59"/>
    <w:rsid w:val="00FB7487"/>
    <w:rsid w:val="00FC7F62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E4A7D6"/>
  <w15:docId w15:val="{C7B7049F-620A-4842-B7B2-8407A46A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159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2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D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2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DE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5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7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162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87F97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S.VDA@delaw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   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Carroll, Steven L (DOS)</dc:creator>
  <cp:lastModifiedBy>Phillips, Benjamin (DOS)</cp:lastModifiedBy>
  <cp:revision>3</cp:revision>
  <dcterms:created xsi:type="dcterms:W3CDTF">2024-01-18T15:55:00Z</dcterms:created>
  <dcterms:modified xsi:type="dcterms:W3CDTF">2024-03-22T20:31:00Z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2023-10-25T00:00:00Z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D:20180925200549</vt:lpwstr>
  </property>
</Properties>
</file>