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E126" w14:textId="77777777" w:rsidR="0041288F" w:rsidRPr="00EB0F59" w:rsidRDefault="0041288F" w:rsidP="00EB0F59">
      <w:pPr>
        <w:pStyle w:val="BodyText"/>
        <w:spacing w:before="90"/>
        <w:jc w:val="center"/>
        <w:rPr>
          <w:b/>
        </w:rPr>
      </w:pPr>
      <w:r w:rsidRPr="0041288F">
        <w:rPr>
          <w:b/>
        </w:rPr>
        <w:t>VOLUNTARY SELF DISCLOSURE AGREEMENT</w:t>
      </w:r>
    </w:p>
    <w:p w14:paraId="2F4B5E26" w14:textId="77777777" w:rsidR="0041288F" w:rsidRDefault="0041288F" w:rsidP="0041288F">
      <w:pPr>
        <w:pStyle w:val="BodyText"/>
        <w:spacing w:before="90"/>
        <w:jc w:val="both"/>
      </w:pPr>
      <w:r>
        <w:t>Form VDA-2</w:t>
      </w:r>
    </w:p>
    <w:p w14:paraId="7967AEA5" w14:textId="77777777" w:rsidR="0041288F" w:rsidRDefault="0041288F" w:rsidP="0041288F">
      <w:pPr>
        <w:pStyle w:val="BodyText"/>
        <w:spacing w:before="11"/>
        <w:jc w:val="both"/>
        <w:rPr>
          <w:sz w:val="23"/>
        </w:rPr>
      </w:pPr>
    </w:p>
    <w:p w14:paraId="19A3DDCA" w14:textId="77777777" w:rsidR="0041288F" w:rsidRDefault="0041288F" w:rsidP="0041288F">
      <w:pPr>
        <w:pStyle w:val="BodyText"/>
        <w:jc w:val="both"/>
      </w:pPr>
      <w:r>
        <w:t xml:space="preserve">State of Delaware </w:t>
      </w:r>
    </w:p>
    <w:p w14:paraId="3E804CF3" w14:textId="77777777" w:rsidR="0041288F" w:rsidRDefault="0041288F" w:rsidP="0041288F">
      <w:pPr>
        <w:pStyle w:val="BodyText"/>
        <w:jc w:val="both"/>
      </w:pPr>
      <w:r>
        <w:t>Delaware Secretary of</w:t>
      </w:r>
      <w:r>
        <w:rPr>
          <w:spacing w:val="-10"/>
        </w:rPr>
        <w:t xml:space="preserve"> </w:t>
      </w:r>
      <w:r>
        <w:t>State</w:t>
      </w:r>
    </w:p>
    <w:p w14:paraId="5B14D374" w14:textId="38E633C3" w:rsidR="0041288F" w:rsidRDefault="0041288F" w:rsidP="0041288F">
      <w:pPr>
        <w:pStyle w:val="BodyText"/>
        <w:jc w:val="both"/>
      </w:pPr>
      <w:r>
        <w:t xml:space="preserve">820 North French Street, </w:t>
      </w:r>
      <w:r w:rsidR="00875F86">
        <w:t>10</w:t>
      </w:r>
      <w:r>
        <w:rPr>
          <w:sz w:val="16"/>
        </w:rPr>
        <w:t xml:space="preserve">th </w:t>
      </w:r>
      <w:r>
        <w:t xml:space="preserve">Floor </w:t>
      </w:r>
    </w:p>
    <w:p w14:paraId="4900E66D" w14:textId="77777777" w:rsidR="0041288F" w:rsidRDefault="0041288F" w:rsidP="0041288F">
      <w:pPr>
        <w:pStyle w:val="BodyText"/>
        <w:jc w:val="both"/>
      </w:pPr>
      <w:r>
        <w:t>Wilmington, DE 19801</w:t>
      </w:r>
    </w:p>
    <w:p w14:paraId="4294C2E8" w14:textId="77777777" w:rsidR="0041288F" w:rsidRDefault="0041288F" w:rsidP="0041288F">
      <w:pPr>
        <w:pStyle w:val="BodyText"/>
        <w:jc w:val="both"/>
      </w:pPr>
    </w:p>
    <w:p w14:paraId="600619EB" w14:textId="77777777" w:rsidR="0041288F" w:rsidRDefault="0041288F" w:rsidP="0041288F">
      <w:pPr>
        <w:pStyle w:val="BodyText"/>
        <w:jc w:val="both"/>
      </w:pPr>
      <w:r>
        <w:t xml:space="preserve">This Voluntary Self Disclosure Agreement (“Agreement”) is entered into between the State of Delaware, by and through the Delaware Secretary of State ("STATE"), acting by its undersigned duly </w:t>
      </w:r>
      <w:r w:rsidR="008A7914">
        <w:t xml:space="preserve">authorized representative, and </w:t>
      </w:r>
      <w:r w:rsidR="008A7914" w:rsidRPr="008A7914">
        <w:rPr>
          <w:i/>
          <w:shd w:val="clear" w:color="auto" w:fill="FFFF00"/>
        </w:rPr>
        <w:t>N</w:t>
      </w:r>
      <w:r w:rsidRPr="008A7914">
        <w:rPr>
          <w:i/>
          <w:shd w:val="clear" w:color="auto" w:fill="FFFF00"/>
        </w:rPr>
        <w:t>ame of Holder</w:t>
      </w:r>
      <w:r>
        <w:t xml:space="preserve">, and certain subsidiaries and affiliated entities, as listed in Exhibit A, a corporation incorporated under the laws of the State of </w:t>
      </w:r>
      <w:r w:rsidRPr="008A7914">
        <w:rPr>
          <w:i/>
          <w:highlight w:val="yellow"/>
        </w:rPr>
        <w:t>Domicile</w:t>
      </w:r>
      <w:r>
        <w:t>, (“HOLDER”), acting by its duly authorized officer:</w:t>
      </w:r>
    </w:p>
    <w:p w14:paraId="651D2BD4" w14:textId="77777777" w:rsidR="0041288F" w:rsidRDefault="0041288F" w:rsidP="0041288F">
      <w:pPr>
        <w:pStyle w:val="BodyText"/>
        <w:spacing w:before="11"/>
        <w:jc w:val="both"/>
        <w:rPr>
          <w:sz w:val="23"/>
        </w:rPr>
      </w:pPr>
    </w:p>
    <w:p w14:paraId="2B274D97" w14:textId="77777777" w:rsidR="0041288F" w:rsidRDefault="0041288F" w:rsidP="0041288F">
      <w:pPr>
        <w:pStyle w:val="BodyText"/>
        <w:jc w:val="both"/>
      </w:pPr>
      <w:r>
        <w:rPr>
          <w:b/>
        </w:rPr>
        <w:t>WHEREAS</w:t>
      </w:r>
      <w:r>
        <w:t>, the HOLDER is not presently in compliance with the Delaware Abandoned Property Law, Chapter 11 of Title 12 of the Delaware Code, (“Abandoned or Unclaimed Property Law”); and</w:t>
      </w:r>
    </w:p>
    <w:p w14:paraId="1DD87113" w14:textId="77777777" w:rsidR="0041288F" w:rsidRDefault="0041288F" w:rsidP="0041288F">
      <w:pPr>
        <w:pStyle w:val="BodyText"/>
        <w:spacing w:before="11"/>
        <w:jc w:val="both"/>
        <w:rPr>
          <w:sz w:val="23"/>
        </w:rPr>
      </w:pPr>
    </w:p>
    <w:p w14:paraId="1376A9DE" w14:textId="77777777" w:rsidR="0041288F" w:rsidRDefault="0041288F" w:rsidP="0041288F">
      <w:pPr>
        <w:pStyle w:val="BodyText"/>
        <w:jc w:val="both"/>
      </w:pPr>
      <w:r>
        <w:rPr>
          <w:b/>
        </w:rPr>
        <w:t>WHEREAS</w:t>
      </w:r>
      <w:r>
        <w:t xml:space="preserve">, the HOLDER voluntarily came forward on </w:t>
      </w:r>
      <w:r w:rsidRPr="008A7914">
        <w:rPr>
          <w:i/>
          <w:highlight w:val="yellow"/>
        </w:rPr>
        <w:t>MONTH, XX, YEAR</w:t>
      </w:r>
      <w:r>
        <w:t>, and entered</w:t>
      </w:r>
      <w:r>
        <w:rPr>
          <w:spacing w:val="-24"/>
        </w:rPr>
        <w:t xml:space="preserve"> </w:t>
      </w:r>
      <w:r>
        <w:t>into a Disclosure and Notice Agreement of Intent to Voluntarily Comply with Abandoned or Unclaimed Property Law pursuant to 12 Del. C. § 1173, evidencing a good faith desire to comply with the Abandoned or Unclaimed Property Law and deliver to the STATE property presumed abandoned or unclaimed and, therefore, subject to escheatment to the STATE;</w:t>
      </w:r>
      <w:r>
        <w:rPr>
          <w:spacing w:val="-19"/>
        </w:rPr>
        <w:t xml:space="preserve"> </w:t>
      </w:r>
      <w:r>
        <w:t>and</w:t>
      </w:r>
    </w:p>
    <w:p w14:paraId="4A5F5375" w14:textId="77777777" w:rsidR="0041288F" w:rsidRDefault="0041288F" w:rsidP="0041288F">
      <w:pPr>
        <w:pStyle w:val="BodyText"/>
        <w:spacing w:before="11"/>
        <w:jc w:val="both"/>
        <w:rPr>
          <w:sz w:val="23"/>
        </w:rPr>
      </w:pPr>
    </w:p>
    <w:p w14:paraId="461196FB" w14:textId="77777777" w:rsidR="0041288F" w:rsidRDefault="0041288F" w:rsidP="0041288F">
      <w:pPr>
        <w:pStyle w:val="BodyText"/>
        <w:jc w:val="both"/>
      </w:pPr>
      <w:r>
        <w:rPr>
          <w:b/>
        </w:rPr>
        <w:t>WHEREAS</w:t>
      </w:r>
      <w:r>
        <w:t>, the HOLDER is not prohibited from participating in the Voluntary Disclosure Program by 12 Del. C. § 1173(e); and</w:t>
      </w:r>
    </w:p>
    <w:p w14:paraId="2BD9EF1B" w14:textId="77777777" w:rsidR="0041288F" w:rsidRDefault="0041288F" w:rsidP="0041288F">
      <w:pPr>
        <w:pStyle w:val="BodyText"/>
        <w:spacing w:before="11"/>
        <w:jc w:val="both"/>
        <w:rPr>
          <w:sz w:val="23"/>
        </w:rPr>
      </w:pPr>
    </w:p>
    <w:p w14:paraId="62B6A311" w14:textId="77777777" w:rsidR="0041288F" w:rsidRDefault="0041288F" w:rsidP="0041288F">
      <w:pPr>
        <w:pStyle w:val="BodyText"/>
        <w:jc w:val="both"/>
      </w:pPr>
      <w:r>
        <w:rPr>
          <w:b/>
        </w:rPr>
        <w:t>WHEREAS</w:t>
      </w:r>
      <w:r>
        <w:t>, the HOLDER desires to resolve all claims which the STATE may assert and the STATE desires to induce the HOLDER to voluntarily comply with the Abandoned or Unclaimed Property Law, including compliance with future annual reporting requirements:</w:t>
      </w:r>
    </w:p>
    <w:p w14:paraId="139AAF3A" w14:textId="77777777" w:rsidR="0041288F" w:rsidRDefault="0041288F" w:rsidP="0041288F">
      <w:pPr>
        <w:pStyle w:val="BodyText"/>
        <w:spacing w:before="11"/>
        <w:jc w:val="both"/>
        <w:rPr>
          <w:sz w:val="23"/>
        </w:rPr>
      </w:pPr>
    </w:p>
    <w:p w14:paraId="3040F4B3" w14:textId="77777777" w:rsidR="0041288F" w:rsidRDefault="0041288F" w:rsidP="0041288F">
      <w:pPr>
        <w:pStyle w:val="BodyText"/>
        <w:jc w:val="both"/>
      </w:pPr>
      <w:r>
        <w:rPr>
          <w:b/>
        </w:rPr>
        <w:t>NOW</w:t>
      </w:r>
      <w:r>
        <w:t>, THEREFORE, in consideration of the mutual promises hereinafter set forth, the parties agree as follows:</w:t>
      </w:r>
    </w:p>
    <w:p w14:paraId="46F84C72" w14:textId="77777777" w:rsidR="0041288F" w:rsidRDefault="0041288F" w:rsidP="0041288F">
      <w:pPr>
        <w:pStyle w:val="BodyText"/>
        <w:spacing w:before="11"/>
        <w:jc w:val="both"/>
        <w:rPr>
          <w:sz w:val="23"/>
        </w:rPr>
      </w:pPr>
    </w:p>
    <w:p w14:paraId="3E998DF3" w14:textId="77777777" w:rsidR="0041288F" w:rsidRDefault="0041288F" w:rsidP="0041288F">
      <w:pPr>
        <w:pStyle w:val="ListParagraph"/>
        <w:numPr>
          <w:ilvl w:val="0"/>
          <w:numId w:val="1"/>
        </w:numPr>
        <w:tabs>
          <w:tab w:val="left" w:pos="360"/>
        </w:tabs>
        <w:ind w:left="0" w:firstLine="0"/>
        <w:jc w:val="both"/>
        <w:rPr>
          <w:sz w:val="24"/>
        </w:rPr>
      </w:pPr>
      <w:r>
        <w:rPr>
          <w:sz w:val="24"/>
        </w:rPr>
        <w:t>The following terms shall have the following</w:t>
      </w:r>
      <w:r>
        <w:rPr>
          <w:spacing w:val="-15"/>
          <w:sz w:val="24"/>
        </w:rPr>
        <w:t xml:space="preserve"> </w:t>
      </w:r>
      <w:r>
        <w:rPr>
          <w:sz w:val="24"/>
        </w:rPr>
        <w:t>definitions:</w:t>
      </w:r>
    </w:p>
    <w:p w14:paraId="23E789A2" w14:textId="77777777" w:rsidR="00417323" w:rsidRPr="0041288F" w:rsidRDefault="00417323" w:rsidP="00417323">
      <w:pPr>
        <w:pStyle w:val="ListParagraph"/>
        <w:numPr>
          <w:ilvl w:val="1"/>
          <w:numId w:val="1"/>
        </w:numPr>
        <w:tabs>
          <w:tab w:val="left" w:pos="840"/>
        </w:tabs>
        <w:jc w:val="both"/>
        <w:rPr>
          <w:sz w:val="24"/>
        </w:rPr>
      </w:pPr>
      <w:r w:rsidRPr="0041288F">
        <w:rPr>
          <w:sz w:val="24"/>
        </w:rPr>
        <w:t>The term “Abandoned or Unclaimed Property” shall mean property against which a</w:t>
      </w:r>
      <w:r w:rsidRPr="0041288F">
        <w:rPr>
          <w:spacing w:val="-21"/>
          <w:sz w:val="24"/>
        </w:rPr>
        <w:t xml:space="preserve"> </w:t>
      </w:r>
      <w:r w:rsidRPr="0041288F">
        <w:rPr>
          <w:sz w:val="24"/>
        </w:rPr>
        <w:t>full period of dormancy has run, pursuant to the Abandoned or Unclaimed Property</w:t>
      </w:r>
      <w:r w:rsidRPr="0041288F">
        <w:rPr>
          <w:spacing w:val="-19"/>
          <w:sz w:val="24"/>
        </w:rPr>
        <w:t xml:space="preserve"> </w:t>
      </w:r>
      <w:r w:rsidRPr="0041288F">
        <w:rPr>
          <w:sz w:val="24"/>
        </w:rPr>
        <w:t>Law.</w:t>
      </w:r>
    </w:p>
    <w:p w14:paraId="0497C3FA" w14:textId="77777777" w:rsidR="00417323" w:rsidRDefault="00417323" w:rsidP="00417323">
      <w:pPr>
        <w:pStyle w:val="ListParagraph"/>
        <w:numPr>
          <w:ilvl w:val="1"/>
          <w:numId w:val="1"/>
        </w:numPr>
        <w:tabs>
          <w:tab w:val="left" w:pos="840"/>
        </w:tabs>
        <w:jc w:val="both"/>
        <w:rPr>
          <w:sz w:val="24"/>
        </w:rPr>
      </w:pPr>
      <w:r>
        <w:rPr>
          <w:sz w:val="24"/>
        </w:rPr>
        <w:t xml:space="preserve">The term “Agreement Look-Back Period” shall mean the period of time that covers all transactions starting on January 1, </w:t>
      </w:r>
      <w:r>
        <w:rPr>
          <w:sz w:val="24"/>
          <w:highlight w:val="yellow"/>
        </w:rPr>
        <w:t xml:space="preserve"> </w:t>
      </w:r>
      <w:r w:rsidRPr="008A7914">
        <w:rPr>
          <w:i/>
          <w:sz w:val="24"/>
          <w:highlight w:val="yellow"/>
        </w:rPr>
        <w:t>XXXX</w:t>
      </w:r>
      <w:r>
        <w:rPr>
          <w:sz w:val="24"/>
        </w:rPr>
        <w:t xml:space="preserve"> that reflect property that becomes or could become Abandoned or Unclaimed Property reportable to Delaware on or before March 1, 2017 for the reporting year ending December 31,</w:t>
      </w:r>
      <w:r w:rsidRPr="005B5480">
        <w:rPr>
          <w:b/>
          <w:spacing w:val="-9"/>
          <w:sz w:val="24"/>
        </w:rPr>
        <w:t xml:space="preserve"> </w:t>
      </w:r>
      <w:r w:rsidRPr="005B5480">
        <w:rPr>
          <w:b/>
          <w:spacing w:val="-9"/>
          <w:sz w:val="28"/>
          <w:vertAlign w:val="superscript"/>
        </w:rPr>
        <w:t xml:space="preserve"> </w:t>
      </w:r>
      <w:r w:rsidRPr="008A7914">
        <w:rPr>
          <w:i/>
          <w:sz w:val="24"/>
          <w:highlight w:val="yellow"/>
        </w:rPr>
        <w:t>201X</w:t>
      </w:r>
      <w:r>
        <w:rPr>
          <w:sz w:val="24"/>
        </w:rPr>
        <w:t>.</w:t>
      </w:r>
    </w:p>
    <w:p w14:paraId="4D46032B" w14:textId="77777777" w:rsidR="00417323" w:rsidRDefault="00417323" w:rsidP="00417323">
      <w:pPr>
        <w:pStyle w:val="ListParagraph"/>
        <w:numPr>
          <w:ilvl w:val="1"/>
          <w:numId w:val="1"/>
        </w:numPr>
        <w:tabs>
          <w:tab w:val="left" w:pos="840"/>
        </w:tabs>
        <w:jc w:val="both"/>
        <w:rPr>
          <w:sz w:val="24"/>
        </w:rPr>
      </w:pPr>
      <w:r>
        <w:rPr>
          <w:sz w:val="24"/>
        </w:rPr>
        <w:t>The term “HOLDER” shall mean [</w:t>
      </w:r>
      <w:r w:rsidRPr="008A7914">
        <w:rPr>
          <w:i/>
          <w:sz w:val="24"/>
          <w:highlight w:val="yellow"/>
        </w:rPr>
        <w:t>Name of Holder</w:t>
      </w:r>
      <w:r>
        <w:rPr>
          <w:sz w:val="24"/>
        </w:rPr>
        <w:t>] (Federal Employer Identification Number (“FEIN”</w:t>
      </w:r>
      <w:r w:rsidR="00E83901">
        <w:rPr>
          <w:sz w:val="24"/>
        </w:rPr>
        <w:t xml:space="preserve">)# </w:t>
      </w:r>
      <w:r w:rsidR="00E83901" w:rsidRPr="008A7914">
        <w:rPr>
          <w:sz w:val="24"/>
          <w:highlight w:val="yellow"/>
        </w:rPr>
        <w:t xml:space="preserve">__________) </w:t>
      </w:r>
      <w:r w:rsidRPr="008A7914">
        <w:rPr>
          <w:sz w:val="24"/>
          <w:highlight w:val="yellow"/>
        </w:rPr>
        <w:t xml:space="preserve">and </w:t>
      </w:r>
      <w:r w:rsidR="00E83901" w:rsidRPr="008A7914">
        <w:rPr>
          <w:sz w:val="24"/>
          <w:highlight w:val="yellow"/>
        </w:rPr>
        <w:t xml:space="preserve">the </w:t>
      </w:r>
      <w:r w:rsidRPr="008A7914">
        <w:rPr>
          <w:sz w:val="24"/>
          <w:highlight w:val="yellow"/>
        </w:rPr>
        <w:t>subsidiaries and affiliates listed in Exhi</w:t>
      </w:r>
      <w:r w:rsidR="0022364B">
        <w:rPr>
          <w:sz w:val="24"/>
          <w:highlight w:val="yellow"/>
        </w:rPr>
        <w:t xml:space="preserve">bit A [Please include FEIN # for </w:t>
      </w:r>
      <w:r w:rsidRPr="008A7914">
        <w:rPr>
          <w:sz w:val="24"/>
          <w:highlight w:val="yellow"/>
        </w:rPr>
        <w:t>entities</w:t>
      </w:r>
      <w:r w:rsidR="00E83901" w:rsidRPr="008A7914">
        <w:rPr>
          <w:sz w:val="24"/>
          <w:highlight w:val="yellow"/>
        </w:rPr>
        <w:t xml:space="preserve"> scop</w:t>
      </w:r>
      <w:r w:rsidR="0022364B">
        <w:rPr>
          <w:sz w:val="24"/>
          <w:highlight w:val="yellow"/>
        </w:rPr>
        <w:t xml:space="preserve">ed in </w:t>
      </w:r>
      <w:r w:rsidR="00E83901" w:rsidRPr="008A7914">
        <w:rPr>
          <w:sz w:val="24"/>
          <w:highlight w:val="yellow"/>
        </w:rPr>
        <w:t>the VDA</w:t>
      </w:r>
      <w:r w:rsidR="00E83901">
        <w:rPr>
          <w:sz w:val="24"/>
        </w:rPr>
        <w:t>]</w:t>
      </w:r>
    </w:p>
    <w:p w14:paraId="11F46F0D" w14:textId="77777777" w:rsidR="00E83901" w:rsidRDefault="00E83901" w:rsidP="00E83901">
      <w:pPr>
        <w:pStyle w:val="ListParagraph"/>
        <w:numPr>
          <w:ilvl w:val="1"/>
          <w:numId w:val="1"/>
        </w:numPr>
        <w:tabs>
          <w:tab w:val="left" w:pos="840"/>
        </w:tabs>
        <w:jc w:val="both"/>
        <w:rPr>
          <w:sz w:val="24"/>
        </w:rPr>
      </w:pPr>
      <w:r>
        <w:rPr>
          <w:sz w:val="24"/>
        </w:rPr>
        <w:t>The term “Payable Property” shall mean [</w:t>
      </w:r>
      <w:r>
        <w:rPr>
          <w:sz w:val="24"/>
          <w:shd w:val="clear" w:color="auto" w:fill="FFFF00"/>
        </w:rPr>
        <w:t>for example: accounts payable, accounts receivable, and payroll property</w:t>
      </w:r>
      <w:r>
        <w:rPr>
          <w:sz w:val="24"/>
        </w:rPr>
        <w:t xml:space="preserve">], for which the dormancy period began during the </w:t>
      </w:r>
      <w:r>
        <w:rPr>
          <w:sz w:val="24"/>
        </w:rPr>
        <w:lastRenderedPageBreak/>
        <w:t>Agreement Look-Back Period and that became Abandoned or Unclaimed Property.</w:t>
      </w:r>
      <w:r>
        <w:rPr>
          <w:spacing w:val="42"/>
          <w:sz w:val="24"/>
        </w:rPr>
        <w:t xml:space="preserve"> </w:t>
      </w:r>
      <w:r>
        <w:rPr>
          <w:sz w:val="24"/>
        </w:rPr>
        <w:t>All other property types/categories of property are excluded for the definition of Payable Property for purposes of this Agreement.</w:t>
      </w:r>
    </w:p>
    <w:p w14:paraId="695504CF" w14:textId="77777777" w:rsidR="00944AA1" w:rsidRPr="00944AA1" w:rsidRDefault="00944AA1" w:rsidP="00944AA1"/>
    <w:p w14:paraId="7DA67726" w14:textId="77777777" w:rsidR="0041288F" w:rsidRDefault="0041288F" w:rsidP="00292A78">
      <w:pPr>
        <w:pStyle w:val="ListParagraph"/>
        <w:numPr>
          <w:ilvl w:val="0"/>
          <w:numId w:val="1"/>
        </w:numPr>
        <w:tabs>
          <w:tab w:val="left" w:pos="360"/>
        </w:tabs>
        <w:jc w:val="both"/>
        <w:rPr>
          <w:sz w:val="24"/>
        </w:rPr>
      </w:pPr>
      <w:r>
        <w:rPr>
          <w:sz w:val="24"/>
        </w:rPr>
        <w:t>The HOLDER agrees to pay and deliver to the STATE, in accordance with § 1173 of the Abandoned or Unclaimed Property Law, the Payable Property for which the dormancy period began during the Agreement Look-Back Period and that became Abandoned or Unclaimed Property, which has been identified and fully d</w:t>
      </w:r>
      <w:r w:rsidR="0069487C">
        <w:rPr>
          <w:sz w:val="24"/>
        </w:rPr>
        <w:t xml:space="preserve">escribed in Exhibit B.1 and the </w:t>
      </w:r>
      <w:r>
        <w:rPr>
          <w:sz w:val="24"/>
        </w:rPr>
        <w:t>associated line</w:t>
      </w:r>
      <w:r>
        <w:rPr>
          <w:spacing w:val="-21"/>
          <w:sz w:val="24"/>
        </w:rPr>
        <w:t xml:space="preserve"> </w:t>
      </w:r>
      <w:r>
        <w:rPr>
          <w:sz w:val="24"/>
        </w:rPr>
        <w:t xml:space="preserve">item detailed </w:t>
      </w:r>
      <w:r w:rsidR="00086027">
        <w:rPr>
          <w:sz w:val="24"/>
        </w:rPr>
        <w:t xml:space="preserve">schedule of the property to be remitted which shall be marked </w:t>
      </w:r>
      <w:r w:rsidR="0069487C">
        <w:rPr>
          <w:sz w:val="24"/>
        </w:rPr>
        <w:t xml:space="preserve">as </w:t>
      </w:r>
      <w:r>
        <w:rPr>
          <w:sz w:val="24"/>
        </w:rPr>
        <w:t xml:space="preserve">Exhibit B.2. After this Agreement is fully executed and returned to the HOLDER, the HOLDER agrees within 10 calendar days to electronically upload the Abandoned or Unclaimed Property Report and associated NAUPA file directly with the Delaware Department of Finance in accordance with the Department of Finance’s policies and procedures. For the avoidance of doubt, the NAUPA file upload and payment shall occur </w:t>
      </w:r>
      <w:r>
        <w:rPr>
          <w:sz w:val="24"/>
          <w:u w:val="single"/>
        </w:rPr>
        <w:t xml:space="preserve">after </w:t>
      </w:r>
      <w:r>
        <w:rPr>
          <w:sz w:val="24"/>
        </w:rPr>
        <w:t>the STATE has returned the fully executed VDA-2 Agreement with attachments. Holder is to provide a copy of the NAUPA Upload Confirmation Receipt to the Department of</w:t>
      </w:r>
      <w:r>
        <w:rPr>
          <w:spacing w:val="-13"/>
          <w:sz w:val="24"/>
        </w:rPr>
        <w:t xml:space="preserve"> </w:t>
      </w:r>
      <w:r>
        <w:rPr>
          <w:sz w:val="24"/>
        </w:rPr>
        <w:t>State.</w:t>
      </w:r>
    </w:p>
    <w:p w14:paraId="7635F9F7" w14:textId="77777777" w:rsidR="0041288F" w:rsidRDefault="0041288F" w:rsidP="0041288F">
      <w:pPr>
        <w:pStyle w:val="BodyText"/>
        <w:jc w:val="both"/>
      </w:pPr>
    </w:p>
    <w:p w14:paraId="0FC38107" w14:textId="77777777" w:rsidR="0041288F" w:rsidRDefault="0041288F" w:rsidP="00292A78">
      <w:pPr>
        <w:pStyle w:val="ListParagraph"/>
        <w:numPr>
          <w:ilvl w:val="0"/>
          <w:numId w:val="1"/>
        </w:numPr>
        <w:tabs>
          <w:tab w:val="left" w:pos="360"/>
        </w:tabs>
        <w:jc w:val="both"/>
        <w:rPr>
          <w:sz w:val="24"/>
        </w:rPr>
      </w:pPr>
      <w:r>
        <w:rPr>
          <w:sz w:val="24"/>
        </w:rPr>
        <w:t>The HOLDER has identified and designated the following individual as its contact for all correspondences with the STATE related to the Abandoned or Unclaimed Property Law or any matter associated with this Agreement, and has provided to the STATE the contact’s mailing address, telephone number, email address, title, and the HOLDER’s FEIN. The HOLDER is obligated to notify the STATE in the case of any change of the designated individual, or any change of contact information provided</w:t>
      </w:r>
      <w:r>
        <w:rPr>
          <w:spacing w:val="-10"/>
          <w:sz w:val="24"/>
        </w:rPr>
        <w:t xml:space="preserve"> </w:t>
      </w:r>
      <w:r>
        <w:rPr>
          <w:sz w:val="24"/>
        </w:rPr>
        <w:t>herein.</w:t>
      </w:r>
    </w:p>
    <w:p w14:paraId="5A39AC9A" w14:textId="77777777" w:rsidR="00A86A0C" w:rsidRPr="00A86A0C" w:rsidRDefault="00A86A0C" w:rsidP="00A86A0C">
      <w:pPr>
        <w:pStyle w:val="ListParagraph"/>
        <w:rPr>
          <w:sz w:val="24"/>
        </w:rPr>
      </w:pPr>
    </w:p>
    <w:p w14:paraId="719F7F96" w14:textId="77777777" w:rsidR="00A86A0C" w:rsidRDefault="00A86A0C" w:rsidP="00A86A0C">
      <w:pPr>
        <w:pStyle w:val="BodyText"/>
        <w:spacing w:line="480" w:lineRule="auto"/>
        <w:ind w:left="288"/>
        <w:jc w:val="both"/>
      </w:pPr>
      <w:r>
        <w:t xml:space="preserve">HOLDER Name and Title of designated contact: </w:t>
      </w:r>
    </w:p>
    <w:p w14:paraId="0EEE9010" w14:textId="77777777" w:rsidR="00A86A0C" w:rsidRDefault="00A86A0C" w:rsidP="00A86A0C">
      <w:pPr>
        <w:pStyle w:val="BodyText"/>
        <w:spacing w:line="480" w:lineRule="auto"/>
        <w:ind w:left="288"/>
        <w:jc w:val="both"/>
      </w:pPr>
      <w:r>
        <w:t>HOLDER Address:</w:t>
      </w:r>
    </w:p>
    <w:p w14:paraId="71195EF2" w14:textId="77777777" w:rsidR="00A86A0C" w:rsidRDefault="00A86A0C" w:rsidP="00A86A0C">
      <w:pPr>
        <w:pStyle w:val="BodyText"/>
        <w:spacing w:line="480" w:lineRule="auto"/>
        <w:ind w:left="288"/>
        <w:jc w:val="both"/>
      </w:pPr>
      <w:r>
        <w:t>HOLDER Telephone number:</w:t>
      </w:r>
    </w:p>
    <w:p w14:paraId="755C5F66" w14:textId="77777777" w:rsidR="00A86A0C" w:rsidRDefault="00A86A0C" w:rsidP="00A86A0C">
      <w:pPr>
        <w:pStyle w:val="BodyText"/>
        <w:spacing w:line="480" w:lineRule="auto"/>
        <w:ind w:left="288"/>
        <w:jc w:val="both"/>
      </w:pPr>
      <w:r>
        <w:t>HOLDER Contact Email Address:</w:t>
      </w:r>
    </w:p>
    <w:p w14:paraId="73C4C510" w14:textId="77777777" w:rsidR="0041288F" w:rsidRDefault="00A86A0C" w:rsidP="00A86A0C">
      <w:pPr>
        <w:pStyle w:val="BodyText"/>
        <w:spacing w:line="480" w:lineRule="auto"/>
        <w:ind w:left="288"/>
        <w:jc w:val="both"/>
      </w:pPr>
      <w:r>
        <w:t>HOLDER FEIN:</w:t>
      </w:r>
    </w:p>
    <w:p w14:paraId="5EC8DE23" w14:textId="77777777" w:rsidR="0041288F" w:rsidRPr="00A86A0C" w:rsidRDefault="0041288F" w:rsidP="0041288F">
      <w:pPr>
        <w:pStyle w:val="ListParagraph"/>
        <w:numPr>
          <w:ilvl w:val="0"/>
          <w:numId w:val="1"/>
        </w:numPr>
        <w:tabs>
          <w:tab w:val="left" w:pos="360"/>
        </w:tabs>
        <w:spacing w:before="10"/>
        <w:jc w:val="both"/>
        <w:rPr>
          <w:sz w:val="24"/>
          <w:szCs w:val="24"/>
        </w:rPr>
      </w:pPr>
      <w:r>
        <w:rPr>
          <w:sz w:val="24"/>
        </w:rPr>
        <w:t>T</w:t>
      </w:r>
      <w:r w:rsidRPr="00A86A0C">
        <w:rPr>
          <w:sz w:val="24"/>
          <w:szCs w:val="24"/>
        </w:rPr>
        <w:t xml:space="preserve">he HOLDER represents that, except as otherwise specifically made known to the STATE, and as noted in the Holder’s SOS VDA Submission attached hereto as “Exhibit C,” the HOLDER is entering into this Agreement intending to fully comply with the Abandoned or Unclaimed Property Law and the rules of priority set forth by the United States Supreme Court in the cases of </w:t>
      </w:r>
      <w:r w:rsidRPr="00A86A0C">
        <w:rPr>
          <w:i/>
          <w:sz w:val="24"/>
          <w:szCs w:val="24"/>
        </w:rPr>
        <w:t xml:space="preserve">Texas v. New Jersey </w:t>
      </w:r>
      <w:r w:rsidRPr="00A86A0C">
        <w:rPr>
          <w:sz w:val="24"/>
          <w:szCs w:val="24"/>
        </w:rPr>
        <w:t xml:space="preserve">and </w:t>
      </w:r>
      <w:r w:rsidRPr="00A86A0C">
        <w:rPr>
          <w:i/>
          <w:sz w:val="24"/>
          <w:szCs w:val="24"/>
        </w:rPr>
        <w:t>Delaware v. New York</w:t>
      </w:r>
      <w:r w:rsidRPr="00A86A0C">
        <w:rPr>
          <w:sz w:val="24"/>
          <w:szCs w:val="24"/>
        </w:rPr>
        <w:t>. The HOLDER also represents that the payment and delivery of the Payable Property is made in good faith compliance with the Abandoned or Unclaimed Property Law,</w:t>
      </w:r>
      <w:r w:rsidR="00D7326F" w:rsidRPr="00A86A0C">
        <w:rPr>
          <w:sz w:val="24"/>
          <w:szCs w:val="24"/>
        </w:rPr>
        <w:t xml:space="preserve"> including but not limited to § </w:t>
      </w:r>
      <w:r w:rsidRPr="00A86A0C">
        <w:rPr>
          <w:sz w:val="24"/>
          <w:szCs w:val="24"/>
        </w:rPr>
        <w:t>1153 of the Abandoned or Unclaimed Property</w:t>
      </w:r>
      <w:r w:rsidRPr="00A86A0C">
        <w:rPr>
          <w:spacing w:val="-7"/>
          <w:sz w:val="24"/>
          <w:szCs w:val="24"/>
        </w:rPr>
        <w:t xml:space="preserve"> </w:t>
      </w:r>
      <w:r w:rsidRPr="00A86A0C">
        <w:rPr>
          <w:sz w:val="24"/>
          <w:szCs w:val="24"/>
        </w:rPr>
        <w:t>Law.</w:t>
      </w:r>
    </w:p>
    <w:p w14:paraId="5AFED122" w14:textId="77777777" w:rsidR="002540E6" w:rsidRPr="00A86A0C" w:rsidRDefault="0041288F" w:rsidP="002540E6">
      <w:pPr>
        <w:pStyle w:val="BodyText"/>
        <w:numPr>
          <w:ilvl w:val="0"/>
          <w:numId w:val="1"/>
        </w:numPr>
        <w:spacing w:before="184"/>
        <w:jc w:val="both"/>
      </w:pPr>
      <w:r w:rsidRPr="00A86A0C">
        <w:rPr>
          <w:spacing w:val="-3"/>
        </w:rPr>
        <w:t xml:space="preserve">In </w:t>
      </w:r>
      <w:r w:rsidRPr="00A86A0C">
        <w:t xml:space="preserve">this Agreement, “good faith” requires, </w:t>
      </w:r>
      <w:r w:rsidRPr="00A86A0C">
        <w:rPr>
          <w:i/>
        </w:rPr>
        <w:t>inter alia</w:t>
      </w:r>
      <w:r w:rsidRPr="00A86A0C">
        <w:t xml:space="preserve">, that in presenting the final HOLDER’s report of Abandoned or Unclaimed Property liability to the STATE, the HOLDER disclose to the STATE all determinations related to the Abandoned or Unclaimed Property Law made by the </w:t>
      </w:r>
      <w:r w:rsidRPr="00A86A0C">
        <w:lastRenderedPageBreak/>
        <w:t>HOLDER in connection with this Agreement. This includes, but is not limited to, any determination by the HOLDER that a particular item, kind, or type of property is not abandoned or unclaimed property under the Abandoned or Unclaimed Property Law where such determination results in a reduction in the amount of property reported, by the HOLDER to the STATE, or the omission of a particular kind or type of property from disclosure, by</w:t>
      </w:r>
      <w:r w:rsidRPr="00A86A0C">
        <w:rPr>
          <w:spacing w:val="-19"/>
        </w:rPr>
        <w:t xml:space="preserve"> </w:t>
      </w:r>
      <w:r w:rsidR="002540E6" w:rsidRPr="00A86A0C">
        <w:t>the Holder to the STATE. The HOLDER’s reliance on an independent third-party to process the HOLDER’s books and records and to determine the amount of the Payable Property does not, by itself alone, without more, constitute “good faith.”</w:t>
      </w:r>
    </w:p>
    <w:p w14:paraId="7CA9FF2E" w14:textId="77777777" w:rsidR="002540E6" w:rsidRPr="00A86A0C" w:rsidRDefault="002540E6" w:rsidP="002540E6">
      <w:pPr>
        <w:pStyle w:val="ListParagraph"/>
        <w:rPr>
          <w:sz w:val="24"/>
          <w:szCs w:val="24"/>
        </w:rPr>
      </w:pPr>
    </w:p>
    <w:p w14:paraId="20AF9541" w14:textId="77777777" w:rsidR="002540E6" w:rsidRPr="00A86A0C" w:rsidRDefault="002540E6" w:rsidP="002540E6">
      <w:pPr>
        <w:pStyle w:val="ListParagraph"/>
        <w:numPr>
          <w:ilvl w:val="0"/>
          <w:numId w:val="1"/>
        </w:numPr>
        <w:tabs>
          <w:tab w:val="left" w:pos="360"/>
          <w:tab w:val="left" w:pos="1730"/>
        </w:tabs>
        <w:jc w:val="both"/>
        <w:rPr>
          <w:sz w:val="24"/>
          <w:szCs w:val="24"/>
        </w:rPr>
      </w:pPr>
      <w:r w:rsidRPr="00A86A0C">
        <w:rPr>
          <w:sz w:val="24"/>
          <w:szCs w:val="24"/>
        </w:rPr>
        <w:t>The STATE releases the HOLDER from all claims, demands, interest, penalties, fines, actions or causes of action the STATE may have from the beginning of time through and including the date of this Agreement that relate to the Payable Property, subject only to the conditions in paragraph nos. 7 and 10 below. Upon payment of the Payable Property, the STATE agrees to indemnify the HOLDER pursuant to the terms of § 1153 of the Abandoned or Unclaimed Property</w:t>
      </w:r>
      <w:r w:rsidRPr="00A86A0C">
        <w:rPr>
          <w:spacing w:val="-2"/>
          <w:sz w:val="24"/>
          <w:szCs w:val="24"/>
        </w:rPr>
        <w:t xml:space="preserve"> </w:t>
      </w:r>
      <w:r w:rsidRPr="00A86A0C">
        <w:rPr>
          <w:sz w:val="24"/>
          <w:szCs w:val="24"/>
        </w:rPr>
        <w:t>Law. Notwithstanding the foregoing provisions of this paragraph 6,</w:t>
      </w:r>
      <w:r w:rsidRPr="00A86A0C">
        <w:rPr>
          <w:spacing w:val="-15"/>
          <w:sz w:val="24"/>
          <w:szCs w:val="24"/>
        </w:rPr>
        <w:t xml:space="preserve"> </w:t>
      </w:r>
      <w:r w:rsidRPr="00A86A0C">
        <w:rPr>
          <w:sz w:val="24"/>
          <w:szCs w:val="24"/>
        </w:rPr>
        <w:t>for</w:t>
      </w:r>
      <w:r w:rsidRPr="00A86A0C">
        <w:rPr>
          <w:spacing w:val="-2"/>
          <w:sz w:val="24"/>
          <w:szCs w:val="24"/>
        </w:rPr>
        <w:t xml:space="preserve"> </w:t>
      </w:r>
      <w:r w:rsidRPr="00A86A0C">
        <w:rPr>
          <w:sz w:val="24"/>
          <w:szCs w:val="24"/>
        </w:rPr>
        <w:t>Payable Property for which complete names and addresses do exist, the HOLDER assumes the</w:t>
      </w:r>
      <w:r w:rsidRPr="00A86A0C">
        <w:rPr>
          <w:spacing w:val="-21"/>
          <w:sz w:val="24"/>
          <w:szCs w:val="24"/>
        </w:rPr>
        <w:t xml:space="preserve"> </w:t>
      </w:r>
      <w:r w:rsidRPr="00A86A0C">
        <w:rPr>
          <w:sz w:val="24"/>
          <w:szCs w:val="24"/>
        </w:rPr>
        <w:t>applicable reporting responsibilities and any such amounts due or paid to any state other than the STATE are not subject to the release and indemnification provisions contained in this paragraph</w:t>
      </w:r>
      <w:r w:rsidRPr="00A86A0C">
        <w:rPr>
          <w:spacing w:val="-19"/>
          <w:sz w:val="24"/>
          <w:szCs w:val="24"/>
        </w:rPr>
        <w:t xml:space="preserve"> </w:t>
      </w:r>
      <w:r w:rsidRPr="00A86A0C">
        <w:rPr>
          <w:sz w:val="24"/>
          <w:szCs w:val="24"/>
        </w:rPr>
        <w:t>6.</w:t>
      </w:r>
    </w:p>
    <w:p w14:paraId="0AFD96BD" w14:textId="77777777" w:rsidR="002540E6" w:rsidRPr="00A86A0C" w:rsidRDefault="002540E6" w:rsidP="00A86A0C">
      <w:pPr>
        <w:tabs>
          <w:tab w:val="left" w:pos="360"/>
          <w:tab w:val="left" w:pos="1730"/>
        </w:tabs>
        <w:jc w:val="both"/>
        <w:rPr>
          <w:sz w:val="24"/>
          <w:szCs w:val="24"/>
        </w:rPr>
      </w:pPr>
    </w:p>
    <w:p w14:paraId="3D8C8602" w14:textId="2A8E8540" w:rsidR="002540E6" w:rsidRPr="00A86A0C" w:rsidRDefault="002540E6" w:rsidP="002540E6">
      <w:pPr>
        <w:pStyle w:val="ListParagraph"/>
        <w:numPr>
          <w:ilvl w:val="0"/>
          <w:numId w:val="1"/>
        </w:numPr>
        <w:tabs>
          <w:tab w:val="left" w:pos="360"/>
        </w:tabs>
        <w:jc w:val="both"/>
        <w:rPr>
          <w:sz w:val="24"/>
          <w:szCs w:val="24"/>
        </w:rPr>
      </w:pPr>
      <w:r w:rsidRPr="00A86A0C">
        <w:rPr>
          <w:sz w:val="24"/>
          <w:szCs w:val="24"/>
        </w:rPr>
        <w:t>The STATE releases the HOLDER from any further reporting requirements for the Payable Property from the beginning of time through the Abandoned and Unclaimed Property Report</w:t>
      </w:r>
      <w:r w:rsidRPr="00A86A0C">
        <w:rPr>
          <w:spacing w:val="-22"/>
          <w:sz w:val="24"/>
          <w:szCs w:val="24"/>
        </w:rPr>
        <w:t xml:space="preserve"> </w:t>
      </w:r>
      <w:r w:rsidRPr="00A86A0C">
        <w:rPr>
          <w:sz w:val="24"/>
          <w:szCs w:val="24"/>
        </w:rPr>
        <w:t xml:space="preserve">due to Delaware for reporting year </w:t>
      </w:r>
      <w:r w:rsidR="00D0429A" w:rsidRPr="00D0429A">
        <w:rPr>
          <w:sz w:val="24"/>
          <w:szCs w:val="24"/>
          <w:highlight w:val="yellow"/>
        </w:rPr>
        <w:t>2021/2022</w:t>
      </w:r>
      <w:r w:rsidRPr="00A86A0C">
        <w:rPr>
          <w:sz w:val="24"/>
          <w:szCs w:val="24"/>
        </w:rPr>
        <w:t xml:space="preserve">, which Report was due </w:t>
      </w:r>
      <w:r w:rsidRPr="00D0429A">
        <w:rPr>
          <w:sz w:val="24"/>
          <w:szCs w:val="24"/>
          <w:highlight w:val="yellow"/>
        </w:rPr>
        <w:t>March 1,</w:t>
      </w:r>
      <w:r w:rsidRPr="00A86A0C">
        <w:rPr>
          <w:sz w:val="24"/>
          <w:szCs w:val="24"/>
        </w:rPr>
        <w:t xml:space="preserve"> </w:t>
      </w:r>
      <w:r w:rsidR="00D0429A" w:rsidRPr="00D0429A">
        <w:rPr>
          <w:sz w:val="24"/>
          <w:szCs w:val="24"/>
          <w:highlight w:val="yellow"/>
        </w:rPr>
        <w:t>2022/2023</w:t>
      </w:r>
      <w:r w:rsidRPr="00A86A0C">
        <w:rPr>
          <w:sz w:val="24"/>
          <w:szCs w:val="24"/>
        </w:rPr>
        <w:t>. The HOLDER agrees to file and report, to the STATE, abandoned or unclaimed property annually as required by the Abandoned or Unclaimed Property Law. Should the HOLDER, or any successor entity of the HOLDER or any of its subsidiaries and affiliates listed on Exhibit A, fail to fulfill Delaware’s annual reporting requirements in any of the subsequent three (3) report years after the execution of this Agreement, the STATE will issue a warning letter to the HOLDER to the individual listed in paragraph 3, notifying the HOLDER of its failure to comply with the Agreement, no earlier than 30 days after the deadline to submit the annual report. In the event that the HOLDER fails to adhere to the reporting requirements of the Abandoned or Unclaimed Property Law after the STATE issues a warning letter, the STATE, at its sole discretion, may void paragraph nos. 6 and 10 of this Agreement and, at the STATE’s discretion, audit the HOLDER for any time, including but not limited to the Agreement Look-Back</w:t>
      </w:r>
      <w:r w:rsidRPr="00A86A0C">
        <w:rPr>
          <w:spacing w:val="-22"/>
          <w:sz w:val="24"/>
          <w:szCs w:val="24"/>
        </w:rPr>
        <w:t xml:space="preserve"> </w:t>
      </w:r>
      <w:r w:rsidRPr="00A86A0C">
        <w:rPr>
          <w:sz w:val="24"/>
          <w:szCs w:val="24"/>
        </w:rPr>
        <w:t>Period.</w:t>
      </w:r>
    </w:p>
    <w:p w14:paraId="52FDE127" w14:textId="77777777" w:rsidR="002540E6" w:rsidRPr="00A86A0C" w:rsidRDefault="002540E6" w:rsidP="002540E6">
      <w:pPr>
        <w:pStyle w:val="ListParagraph"/>
        <w:tabs>
          <w:tab w:val="left" w:pos="360"/>
        </w:tabs>
        <w:jc w:val="both"/>
        <w:rPr>
          <w:sz w:val="24"/>
          <w:szCs w:val="24"/>
        </w:rPr>
      </w:pPr>
    </w:p>
    <w:p w14:paraId="70B37A9E" w14:textId="77777777" w:rsidR="002540E6" w:rsidRPr="00A86A0C" w:rsidRDefault="002540E6" w:rsidP="002540E6">
      <w:pPr>
        <w:pStyle w:val="ListParagraph"/>
        <w:numPr>
          <w:ilvl w:val="0"/>
          <w:numId w:val="1"/>
        </w:numPr>
        <w:tabs>
          <w:tab w:val="left" w:pos="360"/>
        </w:tabs>
        <w:jc w:val="both"/>
        <w:rPr>
          <w:sz w:val="24"/>
          <w:szCs w:val="24"/>
        </w:rPr>
      </w:pPr>
      <w:r w:rsidRPr="00A86A0C">
        <w:rPr>
          <w:sz w:val="24"/>
          <w:szCs w:val="24"/>
        </w:rPr>
        <w:t>The HOLDER has disclosed to the STATE any estimation techniques which were used to determine the Payable Property for any periods where the HOLDER attests that records either do not exist, or are inadequate to determine the exact amount of property which became abandoned or unclaimed during the Agreement Look-Back Period. The HOLDER swears that no estimation techniques were used to infer, create, or otherwise identify addresses for persons appearing to be owners of abandoned or unclaimed property where the HOLDER’s books and records do not in fact contain the addresses of the persons appearing to be owners of the abandoned or unclaimed property.</w:t>
      </w:r>
    </w:p>
    <w:p w14:paraId="3073FD5B" w14:textId="77777777" w:rsidR="002540E6" w:rsidRPr="00A86A0C" w:rsidRDefault="002540E6" w:rsidP="001F0E1F">
      <w:pPr>
        <w:tabs>
          <w:tab w:val="left" w:pos="360"/>
        </w:tabs>
        <w:jc w:val="both"/>
        <w:rPr>
          <w:sz w:val="24"/>
          <w:szCs w:val="24"/>
        </w:rPr>
      </w:pPr>
    </w:p>
    <w:p w14:paraId="6CCB4C92" w14:textId="77777777" w:rsidR="002540E6" w:rsidRPr="00A86A0C" w:rsidRDefault="002540E6" w:rsidP="002540E6">
      <w:pPr>
        <w:pStyle w:val="ListParagraph"/>
        <w:numPr>
          <w:ilvl w:val="0"/>
          <w:numId w:val="1"/>
        </w:numPr>
        <w:tabs>
          <w:tab w:val="left" w:pos="360"/>
        </w:tabs>
        <w:jc w:val="both"/>
        <w:rPr>
          <w:sz w:val="24"/>
          <w:szCs w:val="24"/>
        </w:rPr>
      </w:pPr>
      <w:r w:rsidRPr="00A86A0C">
        <w:rPr>
          <w:sz w:val="24"/>
          <w:szCs w:val="24"/>
        </w:rPr>
        <w:t>The STATE will maintain the confidentiality of information voluntarily disclosed and shall only disclose such information as provided in § 1189 of the Abandoned or Unclaimed Property Law, or as otherwise required by</w:t>
      </w:r>
      <w:r w:rsidRPr="00A86A0C">
        <w:rPr>
          <w:spacing w:val="-12"/>
          <w:sz w:val="24"/>
          <w:szCs w:val="24"/>
        </w:rPr>
        <w:t xml:space="preserve"> </w:t>
      </w:r>
      <w:r w:rsidRPr="00A86A0C">
        <w:rPr>
          <w:sz w:val="24"/>
          <w:szCs w:val="24"/>
        </w:rPr>
        <w:t>law.</w:t>
      </w:r>
    </w:p>
    <w:p w14:paraId="4E4565F0" w14:textId="77777777" w:rsidR="001F0E1F" w:rsidRPr="00A86A0C" w:rsidRDefault="001F0E1F" w:rsidP="001F0E1F">
      <w:pPr>
        <w:pStyle w:val="ListParagraph"/>
        <w:tabs>
          <w:tab w:val="left" w:pos="360"/>
        </w:tabs>
        <w:jc w:val="both"/>
        <w:rPr>
          <w:sz w:val="24"/>
          <w:szCs w:val="24"/>
        </w:rPr>
      </w:pPr>
    </w:p>
    <w:p w14:paraId="57648D6A" w14:textId="77777777" w:rsidR="00292A78" w:rsidRPr="00A86A0C" w:rsidRDefault="002540E6" w:rsidP="001F0E1F">
      <w:pPr>
        <w:pStyle w:val="ListParagraph"/>
        <w:numPr>
          <w:ilvl w:val="0"/>
          <w:numId w:val="1"/>
        </w:numPr>
        <w:tabs>
          <w:tab w:val="left" w:pos="360"/>
        </w:tabs>
        <w:jc w:val="both"/>
        <w:rPr>
          <w:sz w:val="24"/>
          <w:szCs w:val="24"/>
        </w:rPr>
      </w:pPr>
      <w:r w:rsidRPr="00A86A0C">
        <w:rPr>
          <w:sz w:val="24"/>
          <w:szCs w:val="24"/>
        </w:rPr>
        <w:t>The STATE recognizes that the HOLDER has come forward on a voluntary basis and hereby enters into compliance with the Abandoned or Unclaimed Property Law.  Except in circumstances where there is evidence of fraud or willful misrepresentation by the HOLDER or those acting on the HOLDER’s behalf or non-compliance with annual reporting requirements in the Abandoned or Unclaimed Property Law and described in paragraph no. 7 above, the STATE waives its right to audit the HOLDER with respect to the Payable Property, pursuant to the Abandoned or Unclaimed Property Law, concerning property that became Abandoned</w:t>
      </w:r>
      <w:r w:rsidRPr="00A86A0C">
        <w:rPr>
          <w:spacing w:val="-19"/>
          <w:sz w:val="24"/>
          <w:szCs w:val="24"/>
        </w:rPr>
        <w:t xml:space="preserve"> </w:t>
      </w:r>
      <w:r w:rsidRPr="00A86A0C">
        <w:rPr>
          <w:sz w:val="24"/>
          <w:szCs w:val="24"/>
        </w:rPr>
        <w:t>or Unclaimed Property during or prior to the Agreement Look-Back Period. In other words, the STATE waives its right to audit the HOLDER, pursuant to the Abandoned or Unclaimed Property Law, concerning the categories of Payable Property that became Abandoned or Unclaimed Property for the Agreement Look-Back Period and all preceding years.</w:t>
      </w:r>
    </w:p>
    <w:p w14:paraId="4792048F" w14:textId="77777777" w:rsidR="00292A78" w:rsidRPr="00A86A0C" w:rsidRDefault="00292A78" w:rsidP="00292A78">
      <w:pPr>
        <w:pStyle w:val="ListParagraph"/>
        <w:rPr>
          <w:sz w:val="24"/>
          <w:szCs w:val="24"/>
        </w:rPr>
      </w:pPr>
    </w:p>
    <w:p w14:paraId="47C5AEC0" w14:textId="77777777" w:rsidR="002540E6" w:rsidRPr="00A86A0C" w:rsidRDefault="002540E6" w:rsidP="00A607B0">
      <w:pPr>
        <w:pStyle w:val="ListParagraph"/>
        <w:numPr>
          <w:ilvl w:val="0"/>
          <w:numId w:val="1"/>
        </w:numPr>
        <w:tabs>
          <w:tab w:val="left" w:pos="360"/>
        </w:tabs>
        <w:jc w:val="both"/>
        <w:rPr>
          <w:sz w:val="24"/>
          <w:szCs w:val="24"/>
        </w:rPr>
      </w:pPr>
      <w:r w:rsidRPr="00A86A0C">
        <w:rPr>
          <w:sz w:val="24"/>
          <w:szCs w:val="24"/>
        </w:rPr>
        <w:t>The Parties agree and acknowledge that this settlement and the terms of this Agreement (including all statements, representations, and communications made by the Parties or their attorneys or other representatives in the course of negotiating this Agreement) shall not be taken or construed to be an admission of liability with respect to the Payable Property described in paragraph 2 (or non-liability with respect to property excluded from the Payable Property described in paragraph 2) for any other matter, property, agreement, settlement, or administrative or judicial proceeding or purpose regarding the Parties or any other organization or Holder that is not</w:t>
      </w:r>
      <w:r w:rsidRPr="00A86A0C">
        <w:rPr>
          <w:spacing w:val="-6"/>
          <w:sz w:val="24"/>
          <w:szCs w:val="24"/>
        </w:rPr>
        <w:t xml:space="preserve"> </w:t>
      </w:r>
      <w:r w:rsidRPr="00A86A0C">
        <w:rPr>
          <w:sz w:val="24"/>
          <w:szCs w:val="24"/>
        </w:rPr>
        <w:t>a</w:t>
      </w:r>
      <w:r w:rsidRPr="00A86A0C">
        <w:rPr>
          <w:spacing w:val="-7"/>
          <w:sz w:val="24"/>
          <w:szCs w:val="24"/>
        </w:rPr>
        <w:t xml:space="preserve"> </w:t>
      </w:r>
      <w:r w:rsidRPr="00A86A0C">
        <w:rPr>
          <w:sz w:val="24"/>
          <w:szCs w:val="24"/>
        </w:rPr>
        <w:t>party</w:t>
      </w:r>
      <w:r w:rsidRPr="00A86A0C">
        <w:rPr>
          <w:spacing w:val="-13"/>
          <w:sz w:val="24"/>
          <w:szCs w:val="24"/>
        </w:rPr>
        <w:t xml:space="preserve"> </w:t>
      </w:r>
      <w:r w:rsidRPr="00A86A0C">
        <w:rPr>
          <w:sz w:val="24"/>
          <w:szCs w:val="24"/>
        </w:rPr>
        <w:t>to</w:t>
      </w:r>
      <w:r w:rsidRPr="00A86A0C">
        <w:rPr>
          <w:spacing w:val="-6"/>
          <w:sz w:val="24"/>
          <w:szCs w:val="24"/>
        </w:rPr>
        <w:t xml:space="preserve"> </w:t>
      </w:r>
      <w:r w:rsidRPr="00A86A0C">
        <w:rPr>
          <w:sz w:val="24"/>
          <w:szCs w:val="24"/>
        </w:rPr>
        <w:t>this</w:t>
      </w:r>
      <w:r w:rsidRPr="00A86A0C">
        <w:rPr>
          <w:spacing w:val="-6"/>
          <w:sz w:val="24"/>
          <w:szCs w:val="24"/>
        </w:rPr>
        <w:t xml:space="preserve"> </w:t>
      </w:r>
      <w:r w:rsidRPr="00A86A0C">
        <w:rPr>
          <w:sz w:val="24"/>
          <w:szCs w:val="24"/>
        </w:rPr>
        <w:t>Agreement.</w:t>
      </w:r>
      <w:r w:rsidRPr="00A86A0C">
        <w:rPr>
          <w:spacing w:val="-6"/>
          <w:sz w:val="24"/>
          <w:szCs w:val="24"/>
        </w:rPr>
        <w:t xml:space="preserve"> </w:t>
      </w:r>
      <w:r w:rsidRPr="00A86A0C">
        <w:rPr>
          <w:sz w:val="24"/>
          <w:szCs w:val="24"/>
        </w:rPr>
        <w:t>This</w:t>
      </w:r>
      <w:r w:rsidRPr="00A86A0C">
        <w:rPr>
          <w:spacing w:val="-6"/>
          <w:sz w:val="24"/>
          <w:szCs w:val="24"/>
        </w:rPr>
        <w:t xml:space="preserve"> </w:t>
      </w:r>
      <w:r w:rsidRPr="00A86A0C">
        <w:rPr>
          <w:sz w:val="24"/>
          <w:szCs w:val="24"/>
        </w:rPr>
        <w:t>Agreement</w:t>
      </w:r>
      <w:r w:rsidRPr="00A86A0C">
        <w:rPr>
          <w:spacing w:val="-6"/>
          <w:sz w:val="24"/>
          <w:szCs w:val="24"/>
        </w:rPr>
        <w:t xml:space="preserve"> </w:t>
      </w:r>
      <w:r w:rsidRPr="00A86A0C">
        <w:rPr>
          <w:sz w:val="24"/>
          <w:szCs w:val="24"/>
        </w:rPr>
        <w:t>is</w:t>
      </w:r>
      <w:r w:rsidRPr="00A86A0C">
        <w:rPr>
          <w:spacing w:val="-4"/>
          <w:sz w:val="24"/>
          <w:szCs w:val="24"/>
        </w:rPr>
        <w:t xml:space="preserve"> </w:t>
      </w:r>
      <w:r w:rsidRPr="00A86A0C">
        <w:rPr>
          <w:sz w:val="24"/>
          <w:szCs w:val="24"/>
        </w:rPr>
        <w:t>directed</w:t>
      </w:r>
      <w:r w:rsidRPr="00A86A0C">
        <w:rPr>
          <w:spacing w:val="-6"/>
          <w:sz w:val="24"/>
          <w:szCs w:val="24"/>
        </w:rPr>
        <w:t xml:space="preserve"> </w:t>
      </w:r>
      <w:r w:rsidRPr="00A86A0C">
        <w:rPr>
          <w:sz w:val="24"/>
          <w:szCs w:val="24"/>
        </w:rPr>
        <w:t>solely</w:t>
      </w:r>
      <w:r w:rsidRPr="00A86A0C">
        <w:rPr>
          <w:spacing w:val="-11"/>
          <w:sz w:val="24"/>
          <w:szCs w:val="24"/>
        </w:rPr>
        <w:t xml:space="preserve"> </w:t>
      </w:r>
      <w:r w:rsidRPr="00A86A0C">
        <w:rPr>
          <w:sz w:val="24"/>
          <w:szCs w:val="24"/>
        </w:rPr>
        <w:t>to</w:t>
      </w:r>
      <w:r w:rsidRPr="00A86A0C">
        <w:rPr>
          <w:spacing w:val="-6"/>
          <w:sz w:val="24"/>
          <w:szCs w:val="24"/>
        </w:rPr>
        <w:t xml:space="preserve"> </w:t>
      </w:r>
      <w:r w:rsidRPr="00A86A0C">
        <w:rPr>
          <w:sz w:val="24"/>
          <w:szCs w:val="24"/>
        </w:rPr>
        <w:t>the</w:t>
      </w:r>
      <w:r w:rsidRPr="00A86A0C">
        <w:rPr>
          <w:spacing w:val="-7"/>
          <w:sz w:val="24"/>
          <w:szCs w:val="24"/>
        </w:rPr>
        <w:t xml:space="preserve"> </w:t>
      </w:r>
      <w:r w:rsidRPr="00A86A0C">
        <w:rPr>
          <w:sz w:val="24"/>
          <w:szCs w:val="24"/>
        </w:rPr>
        <w:t>Parties</w:t>
      </w:r>
      <w:r w:rsidRPr="00A86A0C">
        <w:rPr>
          <w:spacing w:val="-6"/>
          <w:sz w:val="24"/>
          <w:szCs w:val="24"/>
        </w:rPr>
        <w:t xml:space="preserve"> </w:t>
      </w:r>
      <w:r w:rsidRPr="00A86A0C">
        <w:rPr>
          <w:sz w:val="24"/>
          <w:szCs w:val="24"/>
        </w:rPr>
        <w:t>identified</w:t>
      </w:r>
      <w:r w:rsidRPr="00A86A0C">
        <w:rPr>
          <w:spacing w:val="-6"/>
          <w:sz w:val="24"/>
          <w:szCs w:val="24"/>
        </w:rPr>
        <w:t xml:space="preserve"> </w:t>
      </w:r>
      <w:r w:rsidRPr="00A86A0C">
        <w:rPr>
          <w:sz w:val="24"/>
          <w:szCs w:val="24"/>
        </w:rPr>
        <w:t>herein.</w:t>
      </w:r>
      <w:r w:rsidRPr="00A86A0C">
        <w:rPr>
          <w:spacing w:val="50"/>
          <w:sz w:val="24"/>
          <w:szCs w:val="24"/>
        </w:rPr>
        <w:t xml:space="preserve"> </w:t>
      </w:r>
      <w:r w:rsidRPr="00A86A0C">
        <w:rPr>
          <w:sz w:val="24"/>
          <w:szCs w:val="24"/>
        </w:rPr>
        <w:t>It is</w:t>
      </w:r>
      <w:r w:rsidRPr="00A86A0C">
        <w:rPr>
          <w:spacing w:val="-4"/>
          <w:sz w:val="24"/>
          <w:szCs w:val="24"/>
        </w:rPr>
        <w:t xml:space="preserve"> </w:t>
      </w:r>
      <w:r w:rsidRPr="00A86A0C">
        <w:rPr>
          <w:sz w:val="24"/>
          <w:szCs w:val="24"/>
        </w:rPr>
        <w:t>based</w:t>
      </w:r>
      <w:r w:rsidRPr="00A86A0C">
        <w:rPr>
          <w:spacing w:val="-4"/>
          <w:sz w:val="24"/>
          <w:szCs w:val="24"/>
        </w:rPr>
        <w:t xml:space="preserve"> </w:t>
      </w:r>
      <w:r w:rsidRPr="00A86A0C">
        <w:rPr>
          <w:sz w:val="24"/>
          <w:szCs w:val="24"/>
        </w:rPr>
        <w:t>on</w:t>
      </w:r>
      <w:r w:rsidRPr="00A86A0C">
        <w:rPr>
          <w:spacing w:val="-4"/>
          <w:sz w:val="24"/>
          <w:szCs w:val="24"/>
        </w:rPr>
        <w:t xml:space="preserve"> </w:t>
      </w:r>
      <w:r w:rsidRPr="00A86A0C">
        <w:rPr>
          <w:sz w:val="24"/>
          <w:szCs w:val="24"/>
        </w:rPr>
        <w:t>the</w:t>
      </w:r>
      <w:r w:rsidRPr="00A86A0C">
        <w:rPr>
          <w:spacing w:val="-5"/>
          <w:sz w:val="24"/>
          <w:szCs w:val="24"/>
        </w:rPr>
        <w:t xml:space="preserve"> </w:t>
      </w:r>
      <w:r w:rsidRPr="00A86A0C">
        <w:rPr>
          <w:sz w:val="24"/>
          <w:szCs w:val="24"/>
        </w:rPr>
        <w:t>facts</w:t>
      </w:r>
      <w:r w:rsidRPr="00A86A0C">
        <w:rPr>
          <w:spacing w:val="-4"/>
          <w:sz w:val="24"/>
          <w:szCs w:val="24"/>
        </w:rPr>
        <w:t xml:space="preserve"> </w:t>
      </w:r>
      <w:r w:rsidRPr="00A86A0C">
        <w:rPr>
          <w:sz w:val="24"/>
          <w:szCs w:val="24"/>
        </w:rPr>
        <w:t>relevant</w:t>
      </w:r>
      <w:r w:rsidRPr="00A86A0C">
        <w:rPr>
          <w:spacing w:val="-3"/>
          <w:sz w:val="24"/>
          <w:szCs w:val="24"/>
        </w:rPr>
        <w:t xml:space="preserve"> </w:t>
      </w:r>
      <w:r w:rsidRPr="00A86A0C">
        <w:rPr>
          <w:sz w:val="24"/>
          <w:szCs w:val="24"/>
        </w:rPr>
        <w:t>to</w:t>
      </w:r>
      <w:r w:rsidRPr="00A86A0C">
        <w:rPr>
          <w:spacing w:val="-4"/>
          <w:sz w:val="24"/>
          <w:szCs w:val="24"/>
        </w:rPr>
        <w:t xml:space="preserve"> </w:t>
      </w:r>
      <w:r w:rsidRPr="00A86A0C">
        <w:rPr>
          <w:sz w:val="24"/>
          <w:szCs w:val="24"/>
        </w:rPr>
        <w:t>this</w:t>
      </w:r>
      <w:r w:rsidRPr="00A86A0C">
        <w:rPr>
          <w:spacing w:val="-6"/>
          <w:sz w:val="24"/>
          <w:szCs w:val="24"/>
        </w:rPr>
        <w:t xml:space="preserve"> </w:t>
      </w:r>
      <w:r w:rsidRPr="00A86A0C">
        <w:rPr>
          <w:sz w:val="24"/>
          <w:szCs w:val="24"/>
        </w:rPr>
        <w:t>matter</w:t>
      </w:r>
      <w:r w:rsidRPr="00A86A0C">
        <w:rPr>
          <w:spacing w:val="-5"/>
          <w:sz w:val="24"/>
          <w:szCs w:val="24"/>
        </w:rPr>
        <w:t xml:space="preserve"> </w:t>
      </w:r>
      <w:r w:rsidRPr="00A86A0C">
        <w:rPr>
          <w:sz w:val="24"/>
          <w:szCs w:val="24"/>
        </w:rPr>
        <w:t>and</w:t>
      </w:r>
      <w:r w:rsidRPr="00A86A0C">
        <w:rPr>
          <w:spacing w:val="-4"/>
          <w:sz w:val="24"/>
          <w:szCs w:val="24"/>
        </w:rPr>
        <w:t xml:space="preserve"> </w:t>
      </w:r>
      <w:r w:rsidRPr="00A86A0C">
        <w:rPr>
          <w:sz w:val="24"/>
          <w:szCs w:val="24"/>
        </w:rPr>
        <w:t>is</w:t>
      </w:r>
      <w:r w:rsidRPr="00A86A0C">
        <w:rPr>
          <w:spacing w:val="-6"/>
          <w:sz w:val="24"/>
          <w:szCs w:val="24"/>
        </w:rPr>
        <w:t xml:space="preserve"> </w:t>
      </w:r>
      <w:r w:rsidRPr="00A86A0C">
        <w:rPr>
          <w:sz w:val="24"/>
          <w:szCs w:val="24"/>
        </w:rPr>
        <w:t>not</w:t>
      </w:r>
      <w:r w:rsidRPr="00A86A0C">
        <w:rPr>
          <w:spacing w:val="-3"/>
          <w:sz w:val="24"/>
          <w:szCs w:val="24"/>
        </w:rPr>
        <w:t xml:space="preserve"> </w:t>
      </w:r>
      <w:r w:rsidRPr="00A86A0C">
        <w:rPr>
          <w:sz w:val="24"/>
          <w:szCs w:val="24"/>
        </w:rPr>
        <w:t>binding</w:t>
      </w:r>
      <w:r w:rsidRPr="00A86A0C">
        <w:rPr>
          <w:spacing w:val="-6"/>
          <w:sz w:val="24"/>
          <w:szCs w:val="24"/>
        </w:rPr>
        <w:t xml:space="preserve"> </w:t>
      </w:r>
      <w:r w:rsidRPr="00A86A0C">
        <w:rPr>
          <w:sz w:val="24"/>
          <w:szCs w:val="24"/>
        </w:rPr>
        <w:t>precedent</w:t>
      </w:r>
      <w:r w:rsidRPr="00A86A0C">
        <w:rPr>
          <w:spacing w:val="-3"/>
          <w:sz w:val="24"/>
          <w:szCs w:val="24"/>
        </w:rPr>
        <w:t xml:space="preserve"> </w:t>
      </w:r>
      <w:r w:rsidRPr="00A86A0C">
        <w:rPr>
          <w:sz w:val="24"/>
          <w:szCs w:val="24"/>
        </w:rPr>
        <w:t>and</w:t>
      </w:r>
      <w:r w:rsidRPr="00A86A0C">
        <w:rPr>
          <w:spacing w:val="-4"/>
          <w:sz w:val="24"/>
          <w:szCs w:val="24"/>
        </w:rPr>
        <w:t xml:space="preserve"> </w:t>
      </w:r>
      <w:r w:rsidRPr="00A86A0C">
        <w:rPr>
          <w:sz w:val="24"/>
          <w:szCs w:val="24"/>
        </w:rPr>
        <w:t>should</w:t>
      </w:r>
      <w:r w:rsidRPr="00A86A0C">
        <w:rPr>
          <w:spacing w:val="-4"/>
          <w:sz w:val="24"/>
          <w:szCs w:val="24"/>
        </w:rPr>
        <w:t xml:space="preserve"> </w:t>
      </w:r>
      <w:r w:rsidRPr="00A86A0C">
        <w:rPr>
          <w:sz w:val="24"/>
          <w:szCs w:val="24"/>
        </w:rPr>
        <w:t>not</w:t>
      </w:r>
      <w:r w:rsidRPr="00A86A0C">
        <w:rPr>
          <w:spacing w:val="-3"/>
          <w:sz w:val="24"/>
          <w:szCs w:val="24"/>
        </w:rPr>
        <w:t xml:space="preserve"> </w:t>
      </w:r>
      <w:r w:rsidRPr="00A86A0C">
        <w:rPr>
          <w:sz w:val="24"/>
          <w:szCs w:val="24"/>
        </w:rPr>
        <w:t>be</w:t>
      </w:r>
      <w:r w:rsidRPr="00A86A0C">
        <w:rPr>
          <w:spacing w:val="-5"/>
          <w:sz w:val="24"/>
          <w:szCs w:val="24"/>
        </w:rPr>
        <w:t xml:space="preserve"> </w:t>
      </w:r>
      <w:r w:rsidRPr="00A86A0C">
        <w:rPr>
          <w:sz w:val="24"/>
          <w:szCs w:val="24"/>
        </w:rPr>
        <w:t>cited</w:t>
      </w:r>
      <w:r w:rsidRPr="00A86A0C">
        <w:rPr>
          <w:spacing w:val="-4"/>
          <w:sz w:val="24"/>
          <w:szCs w:val="24"/>
        </w:rPr>
        <w:t xml:space="preserve"> </w:t>
      </w:r>
      <w:r w:rsidRPr="00A86A0C">
        <w:rPr>
          <w:sz w:val="24"/>
          <w:szCs w:val="24"/>
        </w:rPr>
        <w:t>as binding by any organization or Holder not a party to this</w:t>
      </w:r>
      <w:r w:rsidRPr="00A86A0C">
        <w:rPr>
          <w:spacing w:val="-19"/>
          <w:sz w:val="24"/>
          <w:szCs w:val="24"/>
        </w:rPr>
        <w:t xml:space="preserve"> </w:t>
      </w:r>
      <w:r w:rsidRPr="00A86A0C">
        <w:rPr>
          <w:sz w:val="24"/>
          <w:szCs w:val="24"/>
        </w:rPr>
        <w:t>Agreement.</w:t>
      </w:r>
    </w:p>
    <w:p w14:paraId="05CDDC90" w14:textId="77777777" w:rsidR="002540E6" w:rsidRPr="00A86A0C" w:rsidRDefault="002540E6" w:rsidP="002540E6">
      <w:pPr>
        <w:pStyle w:val="ListParagraph"/>
        <w:tabs>
          <w:tab w:val="left" w:pos="360"/>
        </w:tabs>
        <w:jc w:val="both"/>
        <w:rPr>
          <w:sz w:val="24"/>
          <w:szCs w:val="24"/>
        </w:rPr>
      </w:pPr>
    </w:p>
    <w:p w14:paraId="45932780" w14:textId="77777777" w:rsidR="002540E6" w:rsidRPr="00A86A0C" w:rsidRDefault="002540E6" w:rsidP="002540E6">
      <w:pPr>
        <w:pStyle w:val="BodyText"/>
        <w:jc w:val="both"/>
      </w:pPr>
    </w:p>
    <w:p w14:paraId="395F3344" w14:textId="77777777" w:rsidR="004A0D95" w:rsidRDefault="004A0D95">
      <w:pPr>
        <w:widowControl/>
        <w:autoSpaceDE/>
        <w:autoSpaceDN/>
        <w:spacing w:after="160" w:line="259" w:lineRule="auto"/>
        <w:rPr>
          <w:b/>
          <w:sz w:val="24"/>
          <w:szCs w:val="24"/>
          <w:u w:val="single"/>
        </w:rPr>
      </w:pPr>
      <w:r>
        <w:rPr>
          <w:b/>
          <w:u w:val="single"/>
        </w:rPr>
        <w:br w:type="page"/>
      </w:r>
    </w:p>
    <w:p w14:paraId="143E8269" w14:textId="77777777" w:rsidR="002540E6" w:rsidRDefault="002540E6" w:rsidP="002540E6">
      <w:pPr>
        <w:pStyle w:val="BodyText"/>
        <w:spacing w:before="90"/>
        <w:jc w:val="both"/>
        <w:rPr>
          <w:b/>
          <w:u w:val="single"/>
        </w:rPr>
      </w:pPr>
      <w:r>
        <w:rPr>
          <w:b/>
          <w:u w:val="single"/>
        </w:rPr>
        <w:lastRenderedPageBreak/>
        <w:t>Agreed to by:</w:t>
      </w:r>
    </w:p>
    <w:p w14:paraId="3D1DAD4B" w14:textId="77777777" w:rsidR="002540E6" w:rsidRPr="0008492B" w:rsidRDefault="002540E6" w:rsidP="002540E6">
      <w:pPr>
        <w:pStyle w:val="BodyText"/>
        <w:spacing w:before="90"/>
        <w:jc w:val="both"/>
        <w:rPr>
          <w:b/>
          <w:u w:val="single"/>
        </w:rPr>
      </w:pPr>
    </w:p>
    <w:p w14:paraId="368DE419" w14:textId="77777777" w:rsidR="002540E6" w:rsidRDefault="002540E6" w:rsidP="002540E6">
      <w:pPr>
        <w:pStyle w:val="BodyText"/>
        <w:spacing w:before="90"/>
        <w:jc w:val="both"/>
      </w:pPr>
      <w:r>
        <w:t>HOLDER:</w:t>
      </w:r>
    </w:p>
    <w:p w14:paraId="7C74625A" w14:textId="77777777" w:rsidR="002540E6" w:rsidRDefault="002540E6" w:rsidP="002540E6">
      <w:pPr>
        <w:pStyle w:val="BodyText"/>
        <w:jc w:val="both"/>
      </w:pPr>
    </w:p>
    <w:p w14:paraId="17EE1DA5" w14:textId="77777777" w:rsidR="002540E6" w:rsidRDefault="002540E6" w:rsidP="002540E6">
      <w:pPr>
        <w:pStyle w:val="BodyText"/>
        <w:tabs>
          <w:tab w:val="left" w:pos="3871"/>
        </w:tabs>
        <w:jc w:val="both"/>
      </w:pPr>
      <w:r>
        <w:rPr>
          <w:vertAlign w:val="superscript"/>
        </w:rPr>
        <w:t xml:space="preserve"> </w:t>
      </w:r>
      <w:r>
        <w:t>I, NAME, TITLE, on</w:t>
      </w:r>
      <w:r>
        <w:rPr>
          <w:spacing w:val="-2"/>
        </w:rPr>
        <w:t xml:space="preserve"> </w:t>
      </w:r>
      <w:r>
        <w:t>behalf</w:t>
      </w:r>
      <w:r>
        <w:rPr>
          <w:spacing w:val="-2"/>
        </w:rPr>
        <w:t xml:space="preserve"> </w:t>
      </w:r>
      <w:r>
        <w:t>of</w:t>
      </w:r>
      <w:r>
        <w:rPr>
          <w:u w:val="single"/>
        </w:rPr>
        <w:tab/>
      </w:r>
      <w:r w:rsidRPr="00894CD1">
        <w:rPr>
          <w:highlight w:val="yellow"/>
        </w:rPr>
        <w:t>and certain affiliated companies as detailed in</w:t>
      </w:r>
      <w:r w:rsidRPr="00894CD1">
        <w:rPr>
          <w:spacing w:val="-2"/>
          <w:highlight w:val="yellow"/>
        </w:rPr>
        <w:t xml:space="preserve"> </w:t>
      </w:r>
      <w:r w:rsidRPr="00894CD1">
        <w:rPr>
          <w:highlight w:val="yellow"/>
        </w:rPr>
        <w:t>Exhibit</w:t>
      </w:r>
      <w:r w:rsidRPr="00894CD1">
        <w:rPr>
          <w:spacing w:val="-1"/>
          <w:highlight w:val="yellow"/>
        </w:rPr>
        <w:t xml:space="preserve"> </w:t>
      </w:r>
      <w:r w:rsidRPr="00894CD1">
        <w:rPr>
          <w:highlight w:val="yellow"/>
        </w:rPr>
        <w:t>A</w:t>
      </w:r>
      <w:r w:rsidRPr="00894CD1">
        <w:rPr>
          <w:w w:val="99"/>
          <w:highlight w:val="yellow"/>
        </w:rPr>
        <w:t xml:space="preserve"> </w:t>
      </w:r>
      <w:r w:rsidRPr="00894CD1">
        <w:rPr>
          <w:highlight w:val="yellow"/>
        </w:rPr>
        <w:t>to this Agreement</w:t>
      </w:r>
      <w:r>
        <w:t>, declare under penalty of perjury that I am authorized to sign this Agreement on behalf of the Holder, have examined this Agreement and the accompanying schedules and exhibits and swear that they are true and correct to the best of my knowledge, information and belief.</w:t>
      </w:r>
    </w:p>
    <w:p w14:paraId="24F3FBAA" w14:textId="77777777" w:rsidR="002540E6" w:rsidRDefault="002540E6" w:rsidP="002540E6">
      <w:pPr>
        <w:pStyle w:val="BodyText"/>
        <w:rPr>
          <w:sz w:val="20"/>
        </w:rPr>
      </w:pPr>
    </w:p>
    <w:p w14:paraId="3F0A6F7E" w14:textId="77777777" w:rsidR="002540E6" w:rsidRPr="00D117C0" w:rsidRDefault="002540E6" w:rsidP="002540E6">
      <w:pPr>
        <w:pStyle w:val="BodyText"/>
        <w:rPr>
          <w:b/>
          <w:sz w:val="20"/>
        </w:rPr>
      </w:pPr>
    </w:p>
    <w:p w14:paraId="0E63FA3C" w14:textId="77777777" w:rsidR="002540E6" w:rsidRDefault="002540E6" w:rsidP="002540E6">
      <w:pPr>
        <w:pStyle w:val="BodyText"/>
        <w:spacing w:before="8"/>
        <w:rPr>
          <w:sz w:val="27"/>
        </w:rPr>
      </w:pPr>
      <w:r>
        <w:rPr>
          <w:noProof/>
        </w:rPr>
        <mc:AlternateContent>
          <mc:Choice Requires="wps">
            <w:drawing>
              <wp:anchor distT="0" distB="0" distL="0" distR="0" simplePos="0" relativeHeight="251659264" behindDoc="0" locked="0" layoutInCell="1" allowOverlap="1" wp14:anchorId="4E532EB9" wp14:editId="68344479">
                <wp:simplePos x="0" y="0"/>
                <wp:positionH relativeFrom="page">
                  <wp:posOffset>914400</wp:posOffset>
                </wp:positionH>
                <wp:positionV relativeFrom="paragraph">
                  <wp:posOffset>230505</wp:posOffset>
                </wp:positionV>
                <wp:extent cx="3200400" cy="0"/>
                <wp:effectExtent l="9525" t="5080" r="9525" b="1397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6463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5pt" to="3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R1X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" strokeweight=".48pt">
                <w10:wrap type="topAndBottom" anchorx="page"/>
              </v:line>
            </w:pict>
          </mc:Fallback>
        </mc:AlternateContent>
      </w:r>
    </w:p>
    <w:p w14:paraId="2C8391E3" w14:textId="77777777" w:rsidR="002540E6" w:rsidRDefault="002540E6" w:rsidP="002540E6">
      <w:pPr>
        <w:pStyle w:val="BodyText"/>
        <w:spacing w:line="247" w:lineRule="exact"/>
      </w:pPr>
      <w:r>
        <w:t>(Signature)</w:t>
      </w:r>
    </w:p>
    <w:p w14:paraId="4E806CE2" w14:textId="77777777" w:rsidR="002540E6" w:rsidRDefault="002540E6" w:rsidP="002540E6">
      <w:pPr>
        <w:pStyle w:val="BodyText"/>
        <w:rPr>
          <w:sz w:val="26"/>
        </w:rPr>
      </w:pPr>
    </w:p>
    <w:p w14:paraId="2FDDF584" w14:textId="77777777" w:rsidR="002540E6" w:rsidRDefault="002540E6" w:rsidP="002540E6">
      <w:pPr>
        <w:pStyle w:val="BodyText"/>
        <w:rPr>
          <w:sz w:val="22"/>
        </w:rPr>
      </w:pPr>
    </w:p>
    <w:p w14:paraId="71209381" w14:textId="77777777" w:rsidR="002540E6" w:rsidRDefault="002540E6" w:rsidP="002540E6">
      <w:pPr>
        <w:pStyle w:val="BodyText"/>
        <w:tabs>
          <w:tab w:val="left" w:pos="3460"/>
        </w:tabs>
      </w:pPr>
      <w:r>
        <w:t xml:space="preserve">Date: </w:t>
      </w:r>
      <w:r>
        <w:rPr>
          <w:u w:val="single"/>
        </w:rPr>
        <w:t xml:space="preserve"> </w:t>
      </w:r>
      <w:r>
        <w:rPr>
          <w:u w:val="single"/>
        </w:rPr>
        <w:tab/>
      </w:r>
    </w:p>
    <w:p w14:paraId="09C7B1CE" w14:textId="77777777" w:rsidR="002540E6" w:rsidRDefault="002540E6" w:rsidP="002540E6">
      <w:pPr>
        <w:pStyle w:val="BodyText"/>
        <w:rPr>
          <w:sz w:val="20"/>
        </w:rPr>
      </w:pPr>
    </w:p>
    <w:p w14:paraId="4CFCDBB7" w14:textId="77777777" w:rsidR="002540E6" w:rsidRDefault="002540E6" w:rsidP="002540E6">
      <w:pPr>
        <w:pStyle w:val="BodyText"/>
        <w:rPr>
          <w:sz w:val="20"/>
        </w:rPr>
      </w:pPr>
    </w:p>
    <w:p w14:paraId="1B85D7F2" w14:textId="77777777" w:rsidR="002540E6" w:rsidRDefault="002540E6" w:rsidP="002540E6">
      <w:pPr>
        <w:pStyle w:val="BodyText"/>
        <w:spacing w:before="7"/>
        <w:rPr>
          <w:b/>
        </w:rPr>
      </w:pPr>
      <w:r>
        <w:rPr>
          <w:b/>
        </w:rPr>
        <w:t xml:space="preserve"> </w:t>
      </w:r>
      <w:r w:rsidRPr="002F35B8">
        <w:rPr>
          <w:b/>
        </w:rPr>
        <w:t xml:space="preserve"> </w:t>
      </w:r>
    </w:p>
    <w:p w14:paraId="78BA17EE" w14:textId="77777777" w:rsidR="002540E6" w:rsidRPr="002F35B8" w:rsidRDefault="002540E6" w:rsidP="002540E6">
      <w:pPr>
        <w:pStyle w:val="BodyText"/>
        <w:spacing w:before="7"/>
        <w:rPr>
          <w:b/>
          <w:u w:val="single"/>
        </w:rPr>
      </w:pPr>
      <w:r w:rsidRPr="002F35B8">
        <w:rPr>
          <w:b/>
          <w:u w:val="single"/>
        </w:rPr>
        <w:t>Agreed to by:</w:t>
      </w:r>
    </w:p>
    <w:p w14:paraId="16350E6F" w14:textId="77777777" w:rsidR="002540E6" w:rsidRDefault="002540E6" w:rsidP="002540E6">
      <w:pPr>
        <w:pStyle w:val="BodyText"/>
        <w:spacing w:before="2"/>
        <w:rPr>
          <w:b/>
          <w:sz w:val="16"/>
        </w:rPr>
      </w:pPr>
    </w:p>
    <w:p w14:paraId="0C776D4D" w14:textId="77777777" w:rsidR="002540E6" w:rsidRDefault="002540E6" w:rsidP="002540E6">
      <w:pPr>
        <w:spacing w:before="90"/>
        <w:rPr>
          <w:b/>
          <w:sz w:val="24"/>
        </w:rPr>
      </w:pPr>
      <w:r>
        <w:rPr>
          <w:b/>
          <w:sz w:val="24"/>
        </w:rPr>
        <w:t>STATE OF DELAWARE:</w:t>
      </w:r>
    </w:p>
    <w:p w14:paraId="5CA8E68E" w14:textId="77777777" w:rsidR="002540E6" w:rsidRDefault="002540E6" w:rsidP="002540E6">
      <w:pPr>
        <w:pStyle w:val="BodyText"/>
        <w:rPr>
          <w:b/>
          <w:sz w:val="20"/>
        </w:rPr>
      </w:pPr>
    </w:p>
    <w:p w14:paraId="56A1CFA5" w14:textId="77777777" w:rsidR="002540E6" w:rsidRPr="00584F2A" w:rsidRDefault="002540E6" w:rsidP="002540E6">
      <w:pPr>
        <w:pStyle w:val="BodyText"/>
        <w:rPr>
          <w:b/>
          <w:vertAlign w:val="superscript"/>
        </w:rPr>
      </w:pPr>
    </w:p>
    <w:p w14:paraId="18A7C2A9" w14:textId="77777777" w:rsidR="002540E6" w:rsidRPr="0041288F" w:rsidRDefault="002540E6" w:rsidP="002540E6">
      <w:pPr>
        <w:pStyle w:val="BodyText"/>
        <w:tabs>
          <w:tab w:val="left" w:pos="8791"/>
        </w:tabs>
        <w:spacing w:before="90"/>
      </w:pPr>
      <w:r>
        <w:rPr>
          <w:b/>
          <w:sz w:val="23"/>
        </w:rPr>
        <w:t>___________</w:t>
      </w:r>
      <w:r w:rsidR="00A86A0C">
        <w:rPr>
          <w:b/>
          <w:sz w:val="23"/>
        </w:rPr>
        <w:t>________________________________</w:t>
      </w:r>
      <w:r>
        <w:rPr>
          <w:b/>
          <w:sz w:val="23"/>
        </w:rPr>
        <w:t xml:space="preserve">_                   </w:t>
      </w:r>
      <w:r>
        <w:rPr>
          <w:sz w:val="23"/>
        </w:rPr>
        <w:t>Date_________________</w:t>
      </w:r>
    </w:p>
    <w:p w14:paraId="2D0CC65E" w14:textId="2DFADC23" w:rsidR="00685123" w:rsidRDefault="002540E6" w:rsidP="002540E6">
      <w:pPr>
        <w:pStyle w:val="BodyText"/>
      </w:pPr>
      <w:r>
        <w:t xml:space="preserve">The Honorable </w:t>
      </w:r>
      <w:proofErr w:type="spellStart"/>
      <w:r w:rsidR="00685123">
        <w:t>Charuni</w:t>
      </w:r>
      <w:proofErr w:type="spellEnd"/>
      <w:r w:rsidR="00685123">
        <w:t xml:space="preserve"> </w:t>
      </w:r>
      <w:proofErr w:type="spellStart"/>
      <w:r w:rsidR="00685123">
        <w:t>Patibanda</w:t>
      </w:r>
      <w:proofErr w:type="spellEnd"/>
      <w:r w:rsidR="00685123">
        <w:t>-Sanchez</w:t>
      </w:r>
    </w:p>
    <w:p w14:paraId="76E39F70" w14:textId="5E22C782" w:rsidR="002540E6" w:rsidRDefault="002540E6" w:rsidP="002540E6">
      <w:pPr>
        <w:pStyle w:val="BodyText"/>
      </w:pPr>
      <w:r>
        <w:t>Secretary of State</w:t>
      </w:r>
    </w:p>
    <w:p w14:paraId="156887EC" w14:textId="77777777" w:rsidR="002540E6" w:rsidRDefault="002540E6" w:rsidP="002540E6">
      <w:pPr>
        <w:pStyle w:val="BodyText"/>
        <w:sectPr w:rsidR="002540E6" w:rsidSect="004A0D95">
          <w:headerReference w:type="default" r:id="rId7"/>
          <w:footerReference w:type="default" r:id="rId8"/>
          <w:pgSz w:w="12240" w:h="15840"/>
          <w:pgMar w:top="1440" w:right="1325" w:bottom="778" w:left="1325" w:header="763" w:footer="590" w:gutter="0"/>
          <w:cols w:space="720"/>
        </w:sectPr>
      </w:pPr>
      <w:r>
        <w:t>State of Delaware</w:t>
      </w:r>
    </w:p>
    <w:p w14:paraId="66332281" w14:textId="77777777" w:rsidR="002540E6" w:rsidRDefault="002540E6" w:rsidP="002540E6">
      <w:pPr>
        <w:spacing w:before="78"/>
        <w:ind w:right="114"/>
        <w:jc w:val="right"/>
        <w:rPr>
          <w:b/>
          <w:i/>
        </w:rPr>
      </w:pPr>
      <w:r>
        <w:rPr>
          <w:b/>
          <w:i/>
        </w:rPr>
        <w:lastRenderedPageBreak/>
        <w:t>Exhibit A</w:t>
      </w:r>
    </w:p>
    <w:p w14:paraId="52BF8A6D" w14:textId="77777777" w:rsidR="002540E6" w:rsidRPr="00584F2A" w:rsidRDefault="002540E6" w:rsidP="002540E6">
      <w:pPr>
        <w:pStyle w:val="BodyText"/>
        <w:spacing w:before="6"/>
        <w:rPr>
          <w:b/>
          <w:sz w:val="28"/>
          <w:szCs w:val="28"/>
          <w:vertAlign w:val="superscript"/>
        </w:rPr>
      </w:pPr>
    </w:p>
    <w:p w14:paraId="192E5017" w14:textId="77777777" w:rsidR="002540E6" w:rsidRDefault="002540E6" w:rsidP="002540E6">
      <w:pPr>
        <w:spacing w:before="92"/>
        <w:ind w:left="1430" w:right="1448"/>
        <w:jc w:val="center"/>
        <w:rPr>
          <w:b/>
          <w:i/>
        </w:rPr>
      </w:pPr>
      <w:r>
        <w:rPr>
          <w:b/>
          <w:i/>
        </w:rPr>
        <w:t>Statement attach to and made part of</w:t>
      </w:r>
    </w:p>
    <w:p w14:paraId="20C349B0" w14:textId="77777777" w:rsidR="002540E6" w:rsidRDefault="002540E6" w:rsidP="002540E6">
      <w:pPr>
        <w:spacing w:before="18"/>
        <w:ind w:left="1430" w:right="1448"/>
        <w:jc w:val="center"/>
        <w:rPr>
          <w:b/>
          <w:i/>
        </w:rPr>
      </w:pPr>
      <w:r>
        <w:rPr>
          <w:b/>
          <w:i/>
        </w:rPr>
        <w:t>Form VDA-2 - Voluntary Self Disclosure Agreement</w:t>
      </w:r>
    </w:p>
    <w:p w14:paraId="7EEEBBC7" w14:textId="77777777" w:rsidR="002540E6" w:rsidRDefault="002540E6" w:rsidP="002540E6">
      <w:pPr>
        <w:pStyle w:val="BodyText"/>
        <w:spacing w:before="6"/>
        <w:rPr>
          <w:b/>
          <w:i/>
          <w:sz w:val="25"/>
        </w:rPr>
      </w:pPr>
    </w:p>
    <w:p w14:paraId="27A6AF24" w14:textId="77777777" w:rsidR="002540E6" w:rsidRDefault="002540E6" w:rsidP="002540E6">
      <w:pPr>
        <w:ind w:left="1431" w:right="1396"/>
        <w:jc w:val="center"/>
        <w:rPr>
          <w:b/>
          <w:i/>
        </w:rPr>
      </w:pPr>
      <w:r>
        <w:rPr>
          <w:b/>
          <w:i/>
        </w:rPr>
        <w:t>(Insert Holder Name)</w:t>
      </w:r>
    </w:p>
    <w:p w14:paraId="4099B6A5" w14:textId="77777777" w:rsidR="002540E6" w:rsidRDefault="002540E6" w:rsidP="002540E6">
      <w:pPr>
        <w:spacing w:before="20"/>
        <w:ind w:left="1431" w:right="1446"/>
        <w:jc w:val="center"/>
        <w:rPr>
          <w:b/>
        </w:rPr>
      </w:pPr>
      <w:r>
        <w:rPr>
          <w:b/>
        </w:rPr>
        <w:t>List of Entities</w:t>
      </w:r>
    </w:p>
    <w:p w14:paraId="6400A51E" w14:textId="77777777" w:rsidR="002540E6" w:rsidRDefault="002540E6" w:rsidP="002540E6">
      <w:pPr>
        <w:pStyle w:val="BodyText"/>
        <w:spacing w:before="11"/>
        <w:rPr>
          <w:b/>
        </w:rPr>
      </w:pPr>
    </w:p>
    <w:p w14:paraId="07CB4D30" w14:textId="77777777" w:rsidR="002540E6" w:rsidRDefault="002540E6" w:rsidP="002540E6">
      <w:pPr>
        <w:ind w:left="1431" w:right="1448"/>
        <w:jc w:val="center"/>
      </w:pPr>
      <w:r>
        <w:t>The following entities are included in the Voluntary Disclosure Agreement.</w:t>
      </w:r>
    </w:p>
    <w:p w14:paraId="1D5CE363" w14:textId="77777777" w:rsidR="002540E6" w:rsidRDefault="002540E6" w:rsidP="002540E6">
      <w:pPr>
        <w:pStyle w:val="BodyText"/>
        <w:spacing w:before="1" w:after="1"/>
        <w:rPr>
          <w:sz w:val="2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2210"/>
        <w:gridCol w:w="2292"/>
        <w:gridCol w:w="2424"/>
      </w:tblGrid>
      <w:tr w:rsidR="002540E6" w14:paraId="238252CF" w14:textId="77777777" w:rsidTr="004E6CA8">
        <w:trPr>
          <w:trHeight w:hRule="exact" w:val="636"/>
        </w:trPr>
        <w:tc>
          <w:tcPr>
            <w:tcW w:w="2424" w:type="dxa"/>
          </w:tcPr>
          <w:p w14:paraId="0F8C023E" w14:textId="77777777" w:rsidR="002540E6" w:rsidRDefault="002540E6" w:rsidP="004E6CA8">
            <w:pPr>
              <w:pStyle w:val="TableParagraph"/>
              <w:ind w:left="491"/>
              <w:rPr>
                <w:b/>
              </w:rPr>
            </w:pPr>
            <w:r>
              <w:rPr>
                <w:b/>
              </w:rPr>
              <w:t>Name of Entity</w:t>
            </w:r>
          </w:p>
        </w:tc>
        <w:tc>
          <w:tcPr>
            <w:tcW w:w="2210" w:type="dxa"/>
          </w:tcPr>
          <w:p w14:paraId="093EBD9F" w14:textId="77777777" w:rsidR="002540E6" w:rsidRDefault="002540E6" w:rsidP="004E6CA8">
            <w:pPr>
              <w:pStyle w:val="TableParagraph"/>
              <w:ind w:left="803" w:right="801"/>
              <w:jc w:val="center"/>
              <w:rPr>
                <w:b/>
              </w:rPr>
            </w:pPr>
            <w:r>
              <w:rPr>
                <w:b/>
              </w:rPr>
              <w:t>EIN #</w:t>
            </w:r>
          </w:p>
        </w:tc>
        <w:tc>
          <w:tcPr>
            <w:tcW w:w="2292" w:type="dxa"/>
          </w:tcPr>
          <w:p w14:paraId="46FD3FF9" w14:textId="77777777" w:rsidR="002540E6" w:rsidRDefault="002540E6" w:rsidP="004E6CA8">
            <w:pPr>
              <w:pStyle w:val="TableParagraph"/>
              <w:rPr>
                <w:b/>
              </w:rPr>
            </w:pPr>
            <w:r>
              <w:rPr>
                <w:b/>
              </w:rPr>
              <w:t>Date of Incorporation</w:t>
            </w:r>
          </w:p>
        </w:tc>
        <w:tc>
          <w:tcPr>
            <w:tcW w:w="2424" w:type="dxa"/>
          </w:tcPr>
          <w:p w14:paraId="7C8C0AAC" w14:textId="77777777" w:rsidR="002540E6" w:rsidRDefault="002540E6" w:rsidP="004E6CA8">
            <w:pPr>
              <w:pStyle w:val="TableParagraph"/>
              <w:ind w:left="158"/>
              <w:rPr>
                <w:b/>
              </w:rPr>
            </w:pPr>
            <w:r>
              <w:rPr>
                <w:b/>
              </w:rPr>
              <w:t>State of Incorporation</w:t>
            </w:r>
          </w:p>
        </w:tc>
      </w:tr>
      <w:tr w:rsidR="002540E6" w14:paraId="4B94A6A1" w14:textId="77777777" w:rsidTr="004E6CA8">
        <w:trPr>
          <w:trHeight w:hRule="exact" w:val="636"/>
        </w:trPr>
        <w:tc>
          <w:tcPr>
            <w:tcW w:w="2424" w:type="dxa"/>
          </w:tcPr>
          <w:p w14:paraId="59AF9F72" w14:textId="77777777" w:rsidR="002540E6" w:rsidRDefault="002540E6" w:rsidP="004E6CA8"/>
        </w:tc>
        <w:tc>
          <w:tcPr>
            <w:tcW w:w="2210" w:type="dxa"/>
          </w:tcPr>
          <w:p w14:paraId="4184C6DC" w14:textId="77777777" w:rsidR="002540E6" w:rsidRDefault="002540E6" w:rsidP="004E6CA8"/>
        </w:tc>
        <w:tc>
          <w:tcPr>
            <w:tcW w:w="2292" w:type="dxa"/>
          </w:tcPr>
          <w:p w14:paraId="1DCDB5B9" w14:textId="77777777" w:rsidR="002540E6" w:rsidRDefault="002540E6" w:rsidP="004E6CA8"/>
        </w:tc>
        <w:tc>
          <w:tcPr>
            <w:tcW w:w="2424" w:type="dxa"/>
          </w:tcPr>
          <w:p w14:paraId="77C13ED7" w14:textId="77777777" w:rsidR="002540E6" w:rsidRDefault="002540E6" w:rsidP="004E6CA8"/>
        </w:tc>
      </w:tr>
      <w:tr w:rsidR="002540E6" w14:paraId="22EA6914" w14:textId="77777777" w:rsidTr="004E6CA8">
        <w:trPr>
          <w:trHeight w:hRule="exact" w:val="638"/>
        </w:trPr>
        <w:tc>
          <w:tcPr>
            <w:tcW w:w="2424" w:type="dxa"/>
          </w:tcPr>
          <w:p w14:paraId="20C95751" w14:textId="77777777" w:rsidR="002540E6" w:rsidRDefault="002540E6" w:rsidP="004E6CA8"/>
        </w:tc>
        <w:tc>
          <w:tcPr>
            <w:tcW w:w="2210" w:type="dxa"/>
          </w:tcPr>
          <w:p w14:paraId="67277652" w14:textId="77777777" w:rsidR="002540E6" w:rsidRDefault="002540E6" w:rsidP="004E6CA8"/>
        </w:tc>
        <w:tc>
          <w:tcPr>
            <w:tcW w:w="2292" w:type="dxa"/>
          </w:tcPr>
          <w:p w14:paraId="6FF314F5" w14:textId="77777777" w:rsidR="002540E6" w:rsidRDefault="002540E6" w:rsidP="004E6CA8"/>
        </w:tc>
        <w:tc>
          <w:tcPr>
            <w:tcW w:w="2424" w:type="dxa"/>
          </w:tcPr>
          <w:p w14:paraId="5B77EDCB" w14:textId="77777777" w:rsidR="002540E6" w:rsidRDefault="002540E6" w:rsidP="004E6CA8"/>
        </w:tc>
      </w:tr>
      <w:tr w:rsidR="002540E6" w14:paraId="45AC44C6" w14:textId="77777777" w:rsidTr="004E6CA8">
        <w:trPr>
          <w:trHeight w:hRule="exact" w:val="636"/>
        </w:trPr>
        <w:tc>
          <w:tcPr>
            <w:tcW w:w="2424" w:type="dxa"/>
          </w:tcPr>
          <w:p w14:paraId="15CDE010" w14:textId="77777777" w:rsidR="002540E6" w:rsidRDefault="002540E6" w:rsidP="004E6CA8"/>
        </w:tc>
        <w:tc>
          <w:tcPr>
            <w:tcW w:w="2210" w:type="dxa"/>
          </w:tcPr>
          <w:p w14:paraId="16197758" w14:textId="77777777" w:rsidR="002540E6" w:rsidRDefault="002540E6" w:rsidP="004E6CA8"/>
        </w:tc>
        <w:tc>
          <w:tcPr>
            <w:tcW w:w="2292" w:type="dxa"/>
          </w:tcPr>
          <w:p w14:paraId="6A0420EA" w14:textId="77777777" w:rsidR="002540E6" w:rsidRDefault="002540E6" w:rsidP="004E6CA8"/>
        </w:tc>
        <w:tc>
          <w:tcPr>
            <w:tcW w:w="2424" w:type="dxa"/>
          </w:tcPr>
          <w:p w14:paraId="3B6FA8D2" w14:textId="77777777" w:rsidR="002540E6" w:rsidRDefault="002540E6" w:rsidP="004E6CA8"/>
        </w:tc>
      </w:tr>
      <w:tr w:rsidR="002540E6" w14:paraId="79B12538" w14:textId="77777777" w:rsidTr="004E6CA8">
        <w:trPr>
          <w:trHeight w:hRule="exact" w:val="638"/>
        </w:trPr>
        <w:tc>
          <w:tcPr>
            <w:tcW w:w="2424" w:type="dxa"/>
          </w:tcPr>
          <w:p w14:paraId="7CD73A84" w14:textId="77777777" w:rsidR="002540E6" w:rsidRDefault="002540E6" w:rsidP="004E6CA8"/>
        </w:tc>
        <w:tc>
          <w:tcPr>
            <w:tcW w:w="2210" w:type="dxa"/>
          </w:tcPr>
          <w:p w14:paraId="67ECCAF1" w14:textId="77777777" w:rsidR="002540E6" w:rsidRDefault="002540E6" w:rsidP="004E6CA8"/>
        </w:tc>
        <w:tc>
          <w:tcPr>
            <w:tcW w:w="2292" w:type="dxa"/>
          </w:tcPr>
          <w:p w14:paraId="02327C76" w14:textId="77777777" w:rsidR="002540E6" w:rsidRDefault="002540E6" w:rsidP="004E6CA8"/>
        </w:tc>
        <w:tc>
          <w:tcPr>
            <w:tcW w:w="2424" w:type="dxa"/>
          </w:tcPr>
          <w:p w14:paraId="65DD6679" w14:textId="77777777" w:rsidR="002540E6" w:rsidRDefault="002540E6" w:rsidP="004E6CA8"/>
        </w:tc>
      </w:tr>
      <w:tr w:rsidR="002540E6" w14:paraId="767E151A" w14:textId="77777777" w:rsidTr="004E6CA8">
        <w:trPr>
          <w:trHeight w:hRule="exact" w:val="636"/>
        </w:trPr>
        <w:tc>
          <w:tcPr>
            <w:tcW w:w="2424" w:type="dxa"/>
          </w:tcPr>
          <w:p w14:paraId="1BEDD074" w14:textId="77777777" w:rsidR="002540E6" w:rsidRDefault="002540E6" w:rsidP="004E6CA8"/>
        </w:tc>
        <w:tc>
          <w:tcPr>
            <w:tcW w:w="2210" w:type="dxa"/>
          </w:tcPr>
          <w:p w14:paraId="0D62B667" w14:textId="77777777" w:rsidR="002540E6" w:rsidRDefault="002540E6" w:rsidP="004E6CA8"/>
        </w:tc>
        <w:tc>
          <w:tcPr>
            <w:tcW w:w="2292" w:type="dxa"/>
          </w:tcPr>
          <w:p w14:paraId="1EFC531B" w14:textId="77777777" w:rsidR="002540E6" w:rsidRDefault="002540E6" w:rsidP="004E6CA8"/>
        </w:tc>
        <w:tc>
          <w:tcPr>
            <w:tcW w:w="2424" w:type="dxa"/>
          </w:tcPr>
          <w:p w14:paraId="510CE370" w14:textId="77777777" w:rsidR="002540E6" w:rsidRDefault="002540E6" w:rsidP="004E6CA8"/>
        </w:tc>
      </w:tr>
      <w:tr w:rsidR="002540E6" w14:paraId="1F559FB6" w14:textId="77777777" w:rsidTr="004E6CA8">
        <w:trPr>
          <w:trHeight w:hRule="exact" w:val="636"/>
        </w:trPr>
        <w:tc>
          <w:tcPr>
            <w:tcW w:w="2424" w:type="dxa"/>
          </w:tcPr>
          <w:p w14:paraId="5DFC8958" w14:textId="77777777" w:rsidR="002540E6" w:rsidRDefault="002540E6" w:rsidP="004E6CA8"/>
        </w:tc>
        <w:tc>
          <w:tcPr>
            <w:tcW w:w="2210" w:type="dxa"/>
          </w:tcPr>
          <w:p w14:paraId="3C2DDB65" w14:textId="77777777" w:rsidR="002540E6" w:rsidRDefault="002540E6" w:rsidP="004E6CA8"/>
        </w:tc>
        <w:tc>
          <w:tcPr>
            <w:tcW w:w="2292" w:type="dxa"/>
          </w:tcPr>
          <w:p w14:paraId="46469725" w14:textId="77777777" w:rsidR="002540E6" w:rsidRDefault="002540E6" w:rsidP="004E6CA8"/>
        </w:tc>
        <w:tc>
          <w:tcPr>
            <w:tcW w:w="2424" w:type="dxa"/>
          </w:tcPr>
          <w:p w14:paraId="1D213E09" w14:textId="77777777" w:rsidR="002540E6" w:rsidRDefault="002540E6" w:rsidP="004E6CA8"/>
        </w:tc>
      </w:tr>
      <w:tr w:rsidR="002540E6" w14:paraId="61464AA4" w14:textId="77777777" w:rsidTr="004E6CA8">
        <w:trPr>
          <w:trHeight w:hRule="exact" w:val="638"/>
        </w:trPr>
        <w:tc>
          <w:tcPr>
            <w:tcW w:w="2424" w:type="dxa"/>
          </w:tcPr>
          <w:p w14:paraId="32DCC4B0" w14:textId="77777777" w:rsidR="002540E6" w:rsidRDefault="002540E6" w:rsidP="004E6CA8"/>
        </w:tc>
        <w:tc>
          <w:tcPr>
            <w:tcW w:w="2210" w:type="dxa"/>
          </w:tcPr>
          <w:p w14:paraId="5A7256EC" w14:textId="77777777" w:rsidR="002540E6" w:rsidRDefault="002540E6" w:rsidP="004E6CA8"/>
        </w:tc>
        <w:tc>
          <w:tcPr>
            <w:tcW w:w="2292" w:type="dxa"/>
          </w:tcPr>
          <w:p w14:paraId="6F7D8468" w14:textId="77777777" w:rsidR="002540E6" w:rsidRDefault="002540E6" w:rsidP="004E6CA8"/>
        </w:tc>
        <w:tc>
          <w:tcPr>
            <w:tcW w:w="2424" w:type="dxa"/>
          </w:tcPr>
          <w:p w14:paraId="3D4D8078" w14:textId="77777777" w:rsidR="002540E6" w:rsidRDefault="002540E6" w:rsidP="004E6CA8"/>
        </w:tc>
      </w:tr>
      <w:tr w:rsidR="002540E6" w14:paraId="1922EE51" w14:textId="77777777" w:rsidTr="004E6CA8">
        <w:trPr>
          <w:trHeight w:hRule="exact" w:val="636"/>
        </w:trPr>
        <w:tc>
          <w:tcPr>
            <w:tcW w:w="2424" w:type="dxa"/>
          </w:tcPr>
          <w:p w14:paraId="60AA679E" w14:textId="77777777" w:rsidR="002540E6" w:rsidRDefault="002540E6" w:rsidP="004E6CA8"/>
        </w:tc>
        <w:tc>
          <w:tcPr>
            <w:tcW w:w="2210" w:type="dxa"/>
          </w:tcPr>
          <w:p w14:paraId="045603C6" w14:textId="77777777" w:rsidR="002540E6" w:rsidRDefault="002540E6" w:rsidP="004E6CA8"/>
        </w:tc>
        <w:tc>
          <w:tcPr>
            <w:tcW w:w="2292" w:type="dxa"/>
          </w:tcPr>
          <w:p w14:paraId="72DB8191" w14:textId="77777777" w:rsidR="002540E6" w:rsidRDefault="002540E6" w:rsidP="004E6CA8"/>
        </w:tc>
        <w:tc>
          <w:tcPr>
            <w:tcW w:w="2424" w:type="dxa"/>
          </w:tcPr>
          <w:p w14:paraId="6A06922E" w14:textId="77777777" w:rsidR="002540E6" w:rsidRDefault="002540E6" w:rsidP="004E6CA8"/>
        </w:tc>
      </w:tr>
      <w:tr w:rsidR="002540E6" w14:paraId="42474E47" w14:textId="77777777" w:rsidTr="004E6CA8">
        <w:trPr>
          <w:trHeight w:hRule="exact" w:val="638"/>
        </w:trPr>
        <w:tc>
          <w:tcPr>
            <w:tcW w:w="2424" w:type="dxa"/>
          </w:tcPr>
          <w:p w14:paraId="6C1D59B6" w14:textId="77777777" w:rsidR="002540E6" w:rsidRDefault="002540E6" w:rsidP="004E6CA8"/>
        </w:tc>
        <w:tc>
          <w:tcPr>
            <w:tcW w:w="2210" w:type="dxa"/>
          </w:tcPr>
          <w:p w14:paraId="3D07957A" w14:textId="77777777" w:rsidR="002540E6" w:rsidRDefault="002540E6" w:rsidP="004E6CA8"/>
        </w:tc>
        <w:tc>
          <w:tcPr>
            <w:tcW w:w="2292" w:type="dxa"/>
          </w:tcPr>
          <w:p w14:paraId="66FE349F" w14:textId="77777777" w:rsidR="002540E6" w:rsidRDefault="002540E6" w:rsidP="004E6CA8"/>
        </w:tc>
        <w:tc>
          <w:tcPr>
            <w:tcW w:w="2424" w:type="dxa"/>
          </w:tcPr>
          <w:p w14:paraId="4135A6A8" w14:textId="77777777" w:rsidR="002540E6" w:rsidRDefault="002540E6" w:rsidP="004E6CA8"/>
        </w:tc>
      </w:tr>
      <w:tr w:rsidR="002540E6" w14:paraId="07244BB1" w14:textId="77777777" w:rsidTr="004E6CA8">
        <w:trPr>
          <w:trHeight w:hRule="exact" w:val="636"/>
        </w:trPr>
        <w:tc>
          <w:tcPr>
            <w:tcW w:w="2424" w:type="dxa"/>
          </w:tcPr>
          <w:p w14:paraId="4492CC10" w14:textId="77777777" w:rsidR="002540E6" w:rsidRDefault="002540E6" w:rsidP="004E6CA8"/>
        </w:tc>
        <w:tc>
          <w:tcPr>
            <w:tcW w:w="2210" w:type="dxa"/>
          </w:tcPr>
          <w:p w14:paraId="4EAB6C96" w14:textId="77777777" w:rsidR="002540E6" w:rsidRDefault="002540E6" w:rsidP="004E6CA8"/>
        </w:tc>
        <w:tc>
          <w:tcPr>
            <w:tcW w:w="2292" w:type="dxa"/>
          </w:tcPr>
          <w:p w14:paraId="21718A1D" w14:textId="77777777" w:rsidR="002540E6" w:rsidRDefault="002540E6" w:rsidP="004E6CA8"/>
        </w:tc>
        <w:tc>
          <w:tcPr>
            <w:tcW w:w="2424" w:type="dxa"/>
          </w:tcPr>
          <w:p w14:paraId="1BCC494A" w14:textId="77777777" w:rsidR="002540E6" w:rsidRDefault="002540E6" w:rsidP="004E6CA8"/>
        </w:tc>
      </w:tr>
      <w:tr w:rsidR="002540E6" w14:paraId="15362EEA" w14:textId="77777777" w:rsidTr="004E6CA8">
        <w:trPr>
          <w:trHeight w:hRule="exact" w:val="638"/>
        </w:trPr>
        <w:tc>
          <w:tcPr>
            <w:tcW w:w="2424" w:type="dxa"/>
          </w:tcPr>
          <w:p w14:paraId="1678746F" w14:textId="77777777" w:rsidR="002540E6" w:rsidRDefault="002540E6" w:rsidP="004E6CA8"/>
        </w:tc>
        <w:tc>
          <w:tcPr>
            <w:tcW w:w="2210" w:type="dxa"/>
          </w:tcPr>
          <w:p w14:paraId="26178378" w14:textId="77777777" w:rsidR="002540E6" w:rsidRDefault="002540E6" w:rsidP="004E6CA8"/>
        </w:tc>
        <w:tc>
          <w:tcPr>
            <w:tcW w:w="2292" w:type="dxa"/>
          </w:tcPr>
          <w:p w14:paraId="6F1B4E75" w14:textId="77777777" w:rsidR="002540E6" w:rsidRDefault="002540E6" w:rsidP="004E6CA8"/>
        </w:tc>
        <w:tc>
          <w:tcPr>
            <w:tcW w:w="2424" w:type="dxa"/>
          </w:tcPr>
          <w:p w14:paraId="059DE3BB" w14:textId="77777777" w:rsidR="002540E6" w:rsidRDefault="002540E6" w:rsidP="004E6CA8"/>
        </w:tc>
      </w:tr>
      <w:tr w:rsidR="002540E6" w14:paraId="3474A815" w14:textId="77777777" w:rsidTr="004E6CA8">
        <w:trPr>
          <w:trHeight w:hRule="exact" w:val="636"/>
        </w:trPr>
        <w:tc>
          <w:tcPr>
            <w:tcW w:w="2424" w:type="dxa"/>
          </w:tcPr>
          <w:p w14:paraId="5AB28067" w14:textId="77777777" w:rsidR="002540E6" w:rsidRDefault="002540E6" w:rsidP="004E6CA8"/>
        </w:tc>
        <w:tc>
          <w:tcPr>
            <w:tcW w:w="2210" w:type="dxa"/>
          </w:tcPr>
          <w:p w14:paraId="0CF4CE81" w14:textId="77777777" w:rsidR="002540E6" w:rsidRDefault="002540E6" w:rsidP="004E6CA8"/>
        </w:tc>
        <w:tc>
          <w:tcPr>
            <w:tcW w:w="2292" w:type="dxa"/>
          </w:tcPr>
          <w:p w14:paraId="26A2F199" w14:textId="77777777" w:rsidR="002540E6" w:rsidRDefault="002540E6" w:rsidP="004E6CA8"/>
        </w:tc>
        <w:tc>
          <w:tcPr>
            <w:tcW w:w="2424" w:type="dxa"/>
          </w:tcPr>
          <w:p w14:paraId="541B400A" w14:textId="77777777" w:rsidR="002540E6" w:rsidRDefault="002540E6" w:rsidP="004E6CA8"/>
        </w:tc>
      </w:tr>
      <w:tr w:rsidR="002540E6" w14:paraId="3D28BCA7" w14:textId="77777777" w:rsidTr="004E6CA8">
        <w:trPr>
          <w:trHeight w:hRule="exact" w:val="636"/>
        </w:trPr>
        <w:tc>
          <w:tcPr>
            <w:tcW w:w="2424" w:type="dxa"/>
          </w:tcPr>
          <w:p w14:paraId="7A610F68" w14:textId="77777777" w:rsidR="002540E6" w:rsidRDefault="002540E6" w:rsidP="004E6CA8"/>
        </w:tc>
        <w:tc>
          <w:tcPr>
            <w:tcW w:w="2210" w:type="dxa"/>
          </w:tcPr>
          <w:p w14:paraId="78990A8E" w14:textId="77777777" w:rsidR="002540E6" w:rsidRDefault="002540E6" w:rsidP="004E6CA8"/>
        </w:tc>
        <w:tc>
          <w:tcPr>
            <w:tcW w:w="2292" w:type="dxa"/>
          </w:tcPr>
          <w:p w14:paraId="2236DA81" w14:textId="77777777" w:rsidR="002540E6" w:rsidRDefault="002540E6" w:rsidP="004E6CA8"/>
        </w:tc>
        <w:tc>
          <w:tcPr>
            <w:tcW w:w="2424" w:type="dxa"/>
          </w:tcPr>
          <w:p w14:paraId="2D695683" w14:textId="77777777" w:rsidR="002540E6" w:rsidRDefault="002540E6" w:rsidP="004E6CA8"/>
        </w:tc>
      </w:tr>
      <w:tr w:rsidR="002540E6" w14:paraId="043084B1" w14:textId="77777777" w:rsidTr="004E6CA8">
        <w:trPr>
          <w:trHeight w:hRule="exact" w:val="638"/>
        </w:trPr>
        <w:tc>
          <w:tcPr>
            <w:tcW w:w="2424" w:type="dxa"/>
          </w:tcPr>
          <w:p w14:paraId="5EDA1D12" w14:textId="77777777" w:rsidR="002540E6" w:rsidRDefault="002540E6" w:rsidP="004E6CA8"/>
        </w:tc>
        <w:tc>
          <w:tcPr>
            <w:tcW w:w="2210" w:type="dxa"/>
          </w:tcPr>
          <w:p w14:paraId="709A2389" w14:textId="77777777" w:rsidR="002540E6" w:rsidRDefault="002540E6" w:rsidP="004E6CA8"/>
        </w:tc>
        <w:tc>
          <w:tcPr>
            <w:tcW w:w="2292" w:type="dxa"/>
          </w:tcPr>
          <w:p w14:paraId="64524377" w14:textId="77777777" w:rsidR="002540E6" w:rsidRDefault="002540E6" w:rsidP="004E6CA8"/>
        </w:tc>
        <w:tc>
          <w:tcPr>
            <w:tcW w:w="2424" w:type="dxa"/>
          </w:tcPr>
          <w:p w14:paraId="42F32072" w14:textId="77777777" w:rsidR="002540E6" w:rsidRDefault="002540E6" w:rsidP="004E6CA8"/>
        </w:tc>
      </w:tr>
    </w:tbl>
    <w:p w14:paraId="42158319" w14:textId="13F2F8D4" w:rsidR="0041288F" w:rsidRPr="00BB0EB2" w:rsidRDefault="0041288F" w:rsidP="00D0429A">
      <w:pPr>
        <w:spacing w:before="78"/>
        <w:ind w:right="294"/>
        <w:rPr>
          <w:b/>
          <w:i/>
          <w:sz w:val="28"/>
        </w:rPr>
      </w:pPr>
      <w:r>
        <w:rPr>
          <w:b/>
          <w:i/>
          <w:sz w:val="28"/>
        </w:rPr>
        <w:t xml:space="preserve"> </w:t>
      </w:r>
    </w:p>
    <w:sectPr w:rsidR="0041288F" w:rsidRPr="00BB0EB2" w:rsidSect="004A0D95">
      <w:headerReference w:type="default" r:id="rId9"/>
      <w:footerReference w:type="default" r:id="rId10"/>
      <w:pgSz w:w="12240" w:h="15840"/>
      <w:pgMar w:top="1354" w:right="1426" w:bottom="274" w:left="142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73D3" w14:textId="77777777" w:rsidR="0041288F" w:rsidRDefault="0041288F" w:rsidP="0041288F">
      <w:r>
        <w:separator/>
      </w:r>
    </w:p>
  </w:endnote>
  <w:endnote w:type="continuationSeparator" w:id="0">
    <w:p w14:paraId="180B8AF4" w14:textId="77777777" w:rsidR="0041288F" w:rsidRDefault="0041288F" w:rsidP="0041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28A3" w14:textId="77777777" w:rsidR="00944AA1" w:rsidRDefault="00944AA1" w:rsidP="00944AA1">
    <w:pPr>
      <w:pStyle w:val="Footer"/>
      <w:jc w:val="center"/>
      <w:rPr>
        <w:i/>
        <w:color w:val="5B9BD5" w:themeColor="accent1"/>
      </w:rPr>
    </w:pPr>
  </w:p>
  <w:p w14:paraId="0A3EDCD8" w14:textId="77777777" w:rsidR="00944AA1" w:rsidRPr="004A0D95" w:rsidRDefault="00944AA1" w:rsidP="00944AA1">
    <w:pPr>
      <w:pStyle w:val="Footer"/>
      <w:jc w:val="center"/>
      <w:rPr>
        <w:i/>
      </w:rPr>
    </w:pPr>
  </w:p>
  <w:p w14:paraId="28AB05F7" w14:textId="1469D0AD" w:rsidR="00BE7492" w:rsidRPr="004A0D95" w:rsidRDefault="00BE7492" w:rsidP="00944AA1">
    <w:pPr>
      <w:pStyle w:val="Footer"/>
      <w:jc w:val="center"/>
      <w:rPr>
        <w:i/>
      </w:rPr>
    </w:pPr>
    <w:r w:rsidRPr="004A0D95">
      <w:rPr>
        <w:i/>
      </w:rPr>
      <w:t>Form VDA-</w:t>
    </w:r>
    <w:r w:rsidR="00EB0F59" w:rsidRPr="004A0D95">
      <w:rPr>
        <w:i/>
      </w:rPr>
      <w:t>2</w:t>
    </w:r>
    <w:r w:rsidR="00A86A0C" w:rsidRPr="004A0D95">
      <w:rPr>
        <w:i/>
      </w:rPr>
      <w:t xml:space="preserve">, </w:t>
    </w:r>
    <w:r w:rsidR="00D0429A">
      <w:rPr>
        <w:i/>
      </w:rPr>
      <w:t>October 23, 2023</w:t>
    </w:r>
  </w:p>
  <w:p w14:paraId="441090C0" w14:textId="77777777" w:rsidR="00BE7492" w:rsidRPr="004A0D95" w:rsidRDefault="00BE7492">
    <w:pPr>
      <w:pStyle w:val="Footer"/>
      <w:jc w:val="center"/>
      <w:rPr>
        <w:i/>
      </w:rPr>
    </w:pPr>
    <w:r w:rsidRPr="004A0D95">
      <w:rPr>
        <w:i/>
      </w:rPr>
      <w:t xml:space="preserve">Page </w:t>
    </w:r>
    <w:r w:rsidRPr="004A0D95">
      <w:rPr>
        <w:i/>
      </w:rPr>
      <w:fldChar w:fldCharType="begin"/>
    </w:r>
    <w:r w:rsidRPr="004A0D95">
      <w:rPr>
        <w:i/>
      </w:rPr>
      <w:instrText xml:space="preserve"> PAGE  \* Arabic  \* MERGEFORMAT </w:instrText>
    </w:r>
    <w:r w:rsidRPr="004A0D95">
      <w:rPr>
        <w:i/>
      </w:rPr>
      <w:fldChar w:fldCharType="separate"/>
    </w:r>
    <w:r w:rsidR="00D4133F">
      <w:rPr>
        <w:i/>
        <w:noProof/>
      </w:rPr>
      <w:t>5</w:t>
    </w:r>
    <w:r w:rsidRPr="004A0D95">
      <w:rPr>
        <w:i/>
      </w:rPr>
      <w:fldChar w:fldCharType="end"/>
    </w:r>
  </w:p>
  <w:p w14:paraId="4A8DDC2F" w14:textId="77777777" w:rsidR="00E83901" w:rsidRPr="004A0D95" w:rsidRDefault="00E83901">
    <w:pPr>
      <w:pStyle w:val="BodyText"/>
      <w:spacing w:line="14" w:lineRule="auto"/>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5CC1" w14:textId="77777777" w:rsidR="00685123" w:rsidRDefault="0068512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CAEC" w14:textId="77777777" w:rsidR="0041288F" w:rsidRDefault="0041288F" w:rsidP="0041288F">
      <w:r>
        <w:separator/>
      </w:r>
    </w:p>
  </w:footnote>
  <w:footnote w:type="continuationSeparator" w:id="0">
    <w:p w14:paraId="33F8EC78" w14:textId="77777777" w:rsidR="0041288F" w:rsidRDefault="0041288F" w:rsidP="0041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B6BD" w14:textId="77777777" w:rsidR="00E83901" w:rsidRDefault="00E8390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B5FE" w14:textId="77777777" w:rsidR="00685123" w:rsidRDefault="0068512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E05"/>
    <w:multiLevelType w:val="hybridMultilevel"/>
    <w:tmpl w:val="FA32F166"/>
    <w:lvl w:ilvl="0" w:tplc="72BE78FE">
      <w:start w:val="1"/>
      <w:numFmt w:val="decimal"/>
      <w:lvlText w:val="%1."/>
      <w:lvlJc w:val="left"/>
      <w:pPr>
        <w:ind w:left="120" w:hanging="240"/>
      </w:pPr>
      <w:rPr>
        <w:rFonts w:ascii="Times New Roman" w:eastAsia="Times New Roman" w:hAnsi="Times New Roman" w:cs="Times New Roman" w:hint="default"/>
        <w:spacing w:val="-3"/>
        <w:w w:val="99"/>
        <w:sz w:val="24"/>
        <w:szCs w:val="24"/>
      </w:rPr>
    </w:lvl>
    <w:lvl w:ilvl="1" w:tplc="04090017">
      <w:start w:val="1"/>
      <w:numFmt w:val="lowerLetter"/>
      <w:lvlText w:val="%2)"/>
      <w:lvlJc w:val="left"/>
      <w:pPr>
        <w:ind w:left="840" w:hanging="360"/>
      </w:pPr>
      <w:rPr>
        <w:rFonts w:hint="default"/>
        <w:spacing w:val="-25"/>
        <w:w w:val="99"/>
        <w:sz w:val="24"/>
        <w:szCs w:val="24"/>
      </w:rPr>
    </w:lvl>
    <w:lvl w:ilvl="2" w:tplc="13563606">
      <w:numFmt w:val="bullet"/>
      <w:lvlText w:val="•"/>
      <w:lvlJc w:val="left"/>
      <w:pPr>
        <w:ind w:left="1808" w:hanging="360"/>
      </w:pPr>
      <w:rPr>
        <w:rFonts w:hint="default"/>
      </w:rPr>
    </w:lvl>
    <w:lvl w:ilvl="3" w:tplc="DF962394">
      <w:numFmt w:val="bullet"/>
      <w:lvlText w:val="•"/>
      <w:lvlJc w:val="left"/>
      <w:pPr>
        <w:ind w:left="2777" w:hanging="360"/>
      </w:pPr>
      <w:rPr>
        <w:rFonts w:hint="default"/>
      </w:rPr>
    </w:lvl>
    <w:lvl w:ilvl="4" w:tplc="6E901200">
      <w:numFmt w:val="bullet"/>
      <w:lvlText w:val="•"/>
      <w:lvlJc w:val="left"/>
      <w:pPr>
        <w:ind w:left="3746" w:hanging="360"/>
      </w:pPr>
      <w:rPr>
        <w:rFonts w:hint="default"/>
      </w:rPr>
    </w:lvl>
    <w:lvl w:ilvl="5" w:tplc="E1D4111C">
      <w:numFmt w:val="bullet"/>
      <w:lvlText w:val="•"/>
      <w:lvlJc w:val="left"/>
      <w:pPr>
        <w:ind w:left="4715" w:hanging="360"/>
      </w:pPr>
      <w:rPr>
        <w:rFonts w:hint="default"/>
      </w:rPr>
    </w:lvl>
    <w:lvl w:ilvl="6" w:tplc="BACA86D4">
      <w:numFmt w:val="bullet"/>
      <w:lvlText w:val="•"/>
      <w:lvlJc w:val="left"/>
      <w:pPr>
        <w:ind w:left="5684" w:hanging="360"/>
      </w:pPr>
      <w:rPr>
        <w:rFonts w:hint="default"/>
      </w:rPr>
    </w:lvl>
    <w:lvl w:ilvl="7" w:tplc="019E6D96">
      <w:numFmt w:val="bullet"/>
      <w:lvlText w:val="•"/>
      <w:lvlJc w:val="left"/>
      <w:pPr>
        <w:ind w:left="6653" w:hanging="360"/>
      </w:pPr>
      <w:rPr>
        <w:rFonts w:hint="default"/>
      </w:rPr>
    </w:lvl>
    <w:lvl w:ilvl="8" w:tplc="84F08F48">
      <w:numFmt w:val="bullet"/>
      <w:lvlText w:val="•"/>
      <w:lvlJc w:val="left"/>
      <w:pPr>
        <w:ind w:left="7622" w:hanging="360"/>
      </w:pPr>
      <w:rPr>
        <w:rFonts w:hint="default"/>
      </w:rPr>
    </w:lvl>
  </w:abstractNum>
  <w:abstractNum w:abstractNumId="1" w15:restartNumberingAfterBreak="0">
    <w:nsid w:val="75ED632E"/>
    <w:multiLevelType w:val="hybridMultilevel"/>
    <w:tmpl w:val="35E03BC2"/>
    <w:lvl w:ilvl="0" w:tplc="CD4EDA46">
      <w:start w:val="1"/>
      <w:numFmt w:val="decimal"/>
      <w:lvlText w:val="%1."/>
      <w:lvlJc w:val="left"/>
      <w:pPr>
        <w:ind w:left="288" w:hanging="432"/>
      </w:pPr>
      <w:rPr>
        <w:rFonts w:ascii="Times New Roman" w:eastAsia="Times New Roman" w:hAnsi="Times New Roman" w:cs="Times New Roman" w:hint="default"/>
        <w:spacing w:val="-3"/>
        <w:w w:val="99"/>
        <w:sz w:val="24"/>
        <w:szCs w:val="24"/>
      </w:rPr>
    </w:lvl>
    <w:lvl w:ilvl="1" w:tplc="04090017">
      <w:start w:val="1"/>
      <w:numFmt w:val="lowerLetter"/>
      <w:lvlText w:val="%2)"/>
      <w:lvlJc w:val="left"/>
      <w:pPr>
        <w:ind w:left="840" w:hanging="360"/>
      </w:pPr>
      <w:rPr>
        <w:rFonts w:hint="default"/>
        <w:spacing w:val="-25"/>
        <w:w w:val="99"/>
        <w:sz w:val="24"/>
        <w:szCs w:val="24"/>
      </w:rPr>
    </w:lvl>
    <w:lvl w:ilvl="2" w:tplc="13563606">
      <w:numFmt w:val="bullet"/>
      <w:lvlText w:val="•"/>
      <w:lvlJc w:val="left"/>
      <w:pPr>
        <w:ind w:left="1808" w:hanging="360"/>
      </w:pPr>
      <w:rPr>
        <w:rFonts w:hint="default"/>
      </w:rPr>
    </w:lvl>
    <w:lvl w:ilvl="3" w:tplc="DF962394">
      <w:numFmt w:val="bullet"/>
      <w:lvlText w:val="•"/>
      <w:lvlJc w:val="left"/>
      <w:pPr>
        <w:ind w:left="2777" w:hanging="360"/>
      </w:pPr>
      <w:rPr>
        <w:rFonts w:hint="default"/>
      </w:rPr>
    </w:lvl>
    <w:lvl w:ilvl="4" w:tplc="6E901200">
      <w:numFmt w:val="bullet"/>
      <w:lvlText w:val="•"/>
      <w:lvlJc w:val="left"/>
      <w:pPr>
        <w:ind w:left="3746" w:hanging="360"/>
      </w:pPr>
      <w:rPr>
        <w:rFonts w:hint="default"/>
      </w:rPr>
    </w:lvl>
    <w:lvl w:ilvl="5" w:tplc="E1D4111C">
      <w:numFmt w:val="bullet"/>
      <w:lvlText w:val="•"/>
      <w:lvlJc w:val="left"/>
      <w:pPr>
        <w:ind w:left="4715" w:hanging="360"/>
      </w:pPr>
      <w:rPr>
        <w:rFonts w:hint="default"/>
      </w:rPr>
    </w:lvl>
    <w:lvl w:ilvl="6" w:tplc="BACA86D4">
      <w:numFmt w:val="bullet"/>
      <w:lvlText w:val="•"/>
      <w:lvlJc w:val="left"/>
      <w:pPr>
        <w:ind w:left="5684" w:hanging="360"/>
      </w:pPr>
      <w:rPr>
        <w:rFonts w:hint="default"/>
      </w:rPr>
    </w:lvl>
    <w:lvl w:ilvl="7" w:tplc="019E6D96">
      <w:numFmt w:val="bullet"/>
      <w:lvlText w:val="•"/>
      <w:lvlJc w:val="left"/>
      <w:pPr>
        <w:ind w:left="6653" w:hanging="360"/>
      </w:pPr>
      <w:rPr>
        <w:rFonts w:hint="default"/>
      </w:rPr>
    </w:lvl>
    <w:lvl w:ilvl="8" w:tplc="84F08F48">
      <w:numFmt w:val="bullet"/>
      <w:lvlText w:val="•"/>
      <w:lvlJc w:val="left"/>
      <w:pPr>
        <w:ind w:left="7622" w:hanging="360"/>
      </w:pPr>
      <w:rPr>
        <w:rFonts w:hint="default"/>
      </w:rPr>
    </w:lvl>
  </w:abstractNum>
  <w:num w:numId="1" w16cid:durableId="2141411439">
    <w:abstractNumId w:val="1"/>
  </w:num>
  <w:num w:numId="2" w16cid:durableId="9890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8F"/>
    <w:rsid w:val="0001173B"/>
    <w:rsid w:val="00086027"/>
    <w:rsid w:val="00087A62"/>
    <w:rsid w:val="00132380"/>
    <w:rsid w:val="001F0E1F"/>
    <w:rsid w:val="0022364B"/>
    <w:rsid w:val="002540E6"/>
    <w:rsid w:val="00292A78"/>
    <w:rsid w:val="0041288F"/>
    <w:rsid w:val="00417323"/>
    <w:rsid w:val="004A0D95"/>
    <w:rsid w:val="004E6695"/>
    <w:rsid w:val="005931EB"/>
    <w:rsid w:val="005F5E5F"/>
    <w:rsid w:val="00685123"/>
    <w:rsid w:val="0069487C"/>
    <w:rsid w:val="007553DF"/>
    <w:rsid w:val="00775AEF"/>
    <w:rsid w:val="00875F86"/>
    <w:rsid w:val="008A7914"/>
    <w:rsid w:val="00944AA1"/>
    <w:rsid w:val="00A47F9F"/>
    <w:rsid w:val="00A86A0C"/>
    <w:rsid w:val="00AF2518"/>
    <w:rsid w:val="00B06325"/>
    <w:rsid w:val="00B31D24"/>
    <w:rsid w:val="00BE7492"/>
    <w:rsid w:val="00CE5860"/>
    <w:rsid w:val="00D0429A"/>
    <w:rsid w:val="00D4133F"/>
    <w:rsid w:val="00D7326F"/>
    <w:rsid w:val="00E71E47"/>
    <w:rsid w:val="00E83901"/>
    <w:rsid w:val="00E8679A"/>
    <w:rsid w:val="00EB0F59"/>
    <w:rsid w:val="00F1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C74D97"/>
  <w15:chartTrackingRefBased/>
  <w15:docId w15:val="{E15AB6ED-B222-4305-B0B4-3D73D914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288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288F"/>
    <w:rPr>
      <w:sz w:val="24"/>
      <w:szCs w:val="24"/>
    </w:rPr>
  </w:style>
  <w:style w:type="character" w:customStyle="1" w:styleId="BodyTextChar">
    <w:name w:val="Body Text Char"/>
    <w:basedOn w:val="DefaultParagraphFont"/>
    <w:link w:val="BodyText"/>
    <w:uiPriority w:val="1"/>
    <w:rsid w:val="0041288F"/>
    <w:rPr>
      <w:rFonts w:ascii="Times New Roman" w:eastAsia="Times New Roman" w:hAnsi="Times New Roman" w:cs="Times New Roman"/>
      <w:sz w:val="24"/>
      <w:szCs w:val="24"/>
    </w:rPr>
  </w:style>
  <w:style w:type="paragraph" w:styleId="ListParagraph">
    <w:name w:val="List Paragraph"/>
    <w:basedOn w:val="Normal"/>
    <w:uiPriority w:val="1"/>
    <w:qFormat/>
    <w:rsid w:val="0041288F"/>
    <w:pPr>
      <w:ind w:left="120"/>
    </w:pPr>
  </w:style>
  <w:style w:type="paragraph" w:customStyle="1" w:styleId="TableParagraph">
    <w:name w:val="Table Paragraph"/>
    <w:basedOn w:val="Normal"/>
    <w:uiPriority w:val="1"/>
    <w:qFormat/>
    <w:rsid w:val="0041288F"/>
    <w:pPr>
      <w:spacing w:line="252" w:lineRule="exact"/>
      <w:ind w:left="112"/>
    </w:pPr>
  </w:style>
  <w:style w:type="paragraph" w:styleId="Header">
    <w:name w:val="header"/>
    <w:basedOn w:val="Normal"/>
    <w:link w:val="HeaderChar"/>
    <w:uiPriority w:val="99"/>
    <w:unhideWhenUsed/>
    <w:rsid w:val="0041288F"/>
    <w:pPr>
      <w:tabs>
        <w:tab w:val="center" w:pos="4680"/>
        <w:tab w:val="right" w:pos="9360"/>
      </w:tabs>
    </w:pPr>
  </w:style>
  <w:style w:type="character" w:customStyle="1" w:styleId="HeaderChar">
    <w:name w:val="Header Char"/>
    <w:basedOn w:val="DefaultParagraphFont"/>
    <w:link w:val="Header"/>
    <w:uiPriority w:val="99"/>
    <w:rsid w:val="0041288F"/>
    <w:rPr>
      <w:rFonts w:ascii="Times New Roman" w:eastAsia="Times New Roman" w:hAnsi="Times New Roman" w:cs="Times New Roman"/>
    </w:rPr>
  </w:style>
  <w:style w:type="paragraph" w:styleId="Footer">
    <w:name w:val="footer"/>
    <w:basedOn w:val="Normal"/>
    <w:link w:val="FooterChar"/>
    <w:uiPriority w:val="99"/>
    <w:unhideWhenUsed/>
    <w:rsid w:val="0041288F"/>
    <w:pPr>
      <w:tabs>
        <w:tab w:val="center" w:pos="4680"/>
        <w:tab w:val="right" w:pos="9360"/>
      </w:tabs>
    </w:pPr>
  </w:style>
  <w:style w:type="character" w:customStyle="1" w:styleId="FooterChar">
    <w:name w:val="Footer Char"/>
    <w:basedOn w:val="DefaultParagraphFont"/>
    <w:link w:val="Footer"/>
    <w:uiPriority w:val="99"/>
    <w:rsid w:val="0041288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12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Romika (DOS)</dc:creator>
  <cp:keywords/>
  <dc:description/>
  <cp:lastModifiedBy>Phillips, Benjamin (DOS)</cp:lastModifiedBy>
  <cp:revision>4</cp:revision>
  <cp:lastPrinted>2018-03-16T15:21:00Z</cp:lastPrinted>
  <dcterms:created xsi:type="dcterms:W3CDTF">2025-01-29T15:10:00Z</dcterms:created>
  <dcterms:modified xsi:type="dcterms:W3CDTF">2025-01-29T20:39:00Z</dcterms:modified>
</cp:coreProperties>
</file>